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outlineLvl w:val="2"/>
        <w:rPr>
          <w:rFonts w:ascii="Arial" w:hAnsi="Arial" w:eastAsia="宋体" w:cs="Arial"/>
          <w:b/>
          <w:color w:val="000000"/>
          <w:kern w:val="0"/>
          <w:sz w:val="36"/>
          <w:szCs w:val="36"/>
        </w:rPr>
      </w:pPr>
      <w:r>
        <w:rPr>
          <w:rFonts w:hint="eastAsia" w:ascii="Arial" w:hAnsi="Arial" w:eastAsia="宋体" w:cs="Arial"/>
          <w:b/>
          <w:color w:val="000000"/>
          <w:kern w:val="0"/>
          <w:sz w:val="36"/>
          <w:szCs w:val="36"/>
        </w:rPr>
        <w:t>许昌市食品药品监管信息化平台（一期）</w:t>
      </w:r>
      <w:r>
        <w:rPr>
          <w:rFonts w:ascii="Arial" w:hAnsi="Arial" w:eastAsia="宋体" w:cs="Arial"/>
          <w:b/>
          <w:color w:val="000000"/>
          <w:kern w:val="0"/>
          <w:sz w:val="36"/>
          <w:szCs w:val="36"/>
        </w:rPr>
        <w:t>采购需求</w:t>
      </w:r>
    </w:p>
    <w:p>
      <w:pPr>
        <w:widowControl/>
        <w:wordWrap w:val="0"/>
        <w:rPr>
          <w:rFonts w:ascii="Arial" w:hAnsi="Arial" w:eastAsia="宋体" w:cs="Arial"/>
          <w:color w:val="000000"/>
          <w:kern w:val="0"/>
          <w:szCs w:val="21"/>
        </w:rPr>
      </w:pPr>
    </w:p>
    <w:p>
      <w:pPr>
        <w:pStyle w:val="2"/>
        <w:rPr>
          <w:rFonts w:ascii="Arial" w:hAnsi="Arial" w:eastAsia="宋体" w:cs="Arial"/>
          <w:color w:val="000000"/>
          <w:kern w:val="0"/>
          <w:szCs w:val="21"/>
        </w:rPr>
      </w:pPr>
      <w:r>
        <w:rPr>
          <w:rFonts w:hint="eastAsia" w:ascii="黑体" w:hAnsi="黑体" w:eastAsia="黑体" w:cs="Arial"/>
          <w:color w:val="000000"/>
          <w:kern w:val="0"/>
          <w:sz w:val="31"/>
          <w:szCs w:val="31"/>
        </w:rPr>
        <w:t>（一）项目概况</w:t>
      </w:r>
    </w:p>
    <w:p>
      <w:pPr>
        <w:widowControl/>
        <w:wordWrap w:val="0"/>
        <w:ind w:firstLine="64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（1）项目名称：许昌市食品药品监管信息化平台（一期）</w:t>
      </w:r>
    </w:p>
    <w:p>
      <w:pPr>
        <w:widowControl/>
        <w:wordWrap w:val="0"/>
        <w:ind w:firstLine="64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（2）项目概况：</w:t>
      </w:r>
    </w:p>
    <w:p>
      <w:pPr>
        <w:widowControl/>
        <w:ind w:firstLine="64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许昌市食品药品监督管理局监管信息化平台是运行在云计算中心和互联网上，是对食品、药品、化妆品和医疗器械的生产加工、存储流通、消费等过程服务及监管的信息化平台，也是实现许昌市食品药品安全信息化服务和相关职能部门间信息共享和业务协同的共享平台，更是服务公众、服务企业、服务政府的综合性服务平台。许昌市食品药品监督管理局监管信息化平台将逐步建成覆盖全市各级食品药品监管部门的统一高效、互联互通、协同共享的食品药品安全服务、监督管理的行政服务平台。</w:t>
      </w:r>
    </w:p>
    <w:p>
      <w:pPr>
        <w:widowControl/>
        <w:wordWrap w:val="0"/>
        <w:ind w:firstLine="64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许昌市食品药品监管信息化平台（一期）包括移动执法管理系统、舆情监测系统、协同办公系统和综合指挥中心等4大业务系统的建设，初步实现食品药品信息化监管模式的建设，为食品药品监管信息化平台整体建设做好试点。</w:t>
      </w:r>
    </w:p>
    <w:p>
      <w:pPr>
        <w:widowControl/>
        <w:wordWrap w:val="0"/>
        <w:ind w:firstLine="55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（3）项目需求：A包：许昌市食品药品监管信息化平台（一期）（技术参数详见附件）；B包：许昌市食品药品监管信息化平台（一期）监理。</w:t>
      </w:r>
    </w:p>
    <w:p>
      <w:pPr>
        <w:widowControl/>
        <w:wordWrap w:val="0"/>
        <w:ind w:firstLine="55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（4）采购预算：</w:t>
      </w:r>
      <w:r>
        <w:rPr>
          <w:rFonts w:ascii="仿宋_GB2312" w:hAnsi="Arial" w:eastAsia="仿宋_GB2312" w:cs="Arial"/>
          <w:color w:val="333333"/>
          <w:kern w:val="0"/>
          <w:sz w:val="31"/>
          <w:szCs w:val="31"/>
        </w:rPr>
        <w:t xml:space="preserve"> </w:t>
      </w:r>
      <w:r>
        <w:rPr>
          <w:rFonts w:hint="eastAsia" w:ascii="仿宋_GB2312" w:hAnsi="Arial" w:eastAsia="仿宋_GB2312" w:cs="Arial"/>
          <w:color w:val="333333"/>
          <w:kern w:val="0"/>
          <w:sz w:val="31"/>
          <w:szCs w:val="31"/>
        </w:rPr>
        <w:t>A包：681.63万元；B包：10万元。</w:t>
      </w:r>
    </w:p>
    <w:p>
      <w:pPr>
        <w:widowControl/>
        <w:wordWrap w:val="0"/>
        <w:ind w:firstLine="555"/>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w:t>
      </w:r>
      <w:r>
        <w:rPr>
          <w:rFonts w:hint="eastAsia" w:ascii="仿宋_GB2312" w:hAnsi="Arial" w:eastAsia="仿宋_GB2312" w:cs="Arial"/>
          <w:color w:val="333333"/>
          <w:kern w:val="0"/>
          <w:sz w:val="31"/>
          <w:szCs w:val="31"/>
          <w:lang w:val="en-US" w:eastAsia="zh-CN"/>
        </w:rPr>
        <w:t>5</w:t>
      </w:r>
      <w:r>
        <w:rPr>
          <w:rFonts w:hint="eastAsia" w:ascii="仿宋_GB2312" w:hAnsi="Arial" w:eastAsia="仿宋_GB2312" w:cs="Arial"/>
          <w:color w:val="333333"/>
          <w:kern w:val="0"/>
          <w:sz w:val="31"/>
          <w:szCs w:val="31"/>
        </w:rPr>
        <w:t>）招标方式：公</w:t>
      </w:r>
      <w:bookmarkStart w:id="4" w:name="_GoBack"/>
      <w:bookmarkEnd w:id="4"/>
      <w:r>
        <w:rPr>
          <w:rFonts w:hint="eastAsia" w:ascii="仿宋_GB2312" w:hAnsi="Arial" w:eastAsia="仿宋_GB2312" w:cs="Arial"/>
          <w:color w:val="333333"/>
          <w:kern w:val="0"/>
          <w:sz w:val="31"/>
          <w:szCs w:val="31"/>
        </w:rPr>
        <w:t>开招标</w:t>
      </w:r>
    </w:p>
    <w:p>
      <w:pPr>
        <w:pStyle w:val="2"/>
        <w:rPr>
          <w:rFonts w:ascii="Arial" w:hAnsi="Arial" w:eastAsia="宋体" w:cs="Arial"/>
          <w:color w:val="000000"/>
          <w:kern w:val="0"/>
          <w:szCs w:val="21"/>
        </w:rPr>
      </w:pPr>
      <w:r>
        <w:rPr>
          <w:rFonts w:hint="eastAsia" w:ascii="黑体" w:hAnsi="黑体" w:eastAsia="黑体" w:cs="Arial"/>
          <w:color w:val="000000"/>
          <w:kern w:val="0"/>
          <w:sz w:val="31"/>
          <w:szCs w:val="31"/>
        </w:rPr>
        <w:t>（二）投标条件</w:t>
      </w:r>
    </w:p>
    <w:p>
      <w:pPr>
        <w:spacing w:line="360" w:lineRule="auto"/>
        <w:ind w:firstLine="620" w:firstLineChars="200"/>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A包：</w:t>
      </w:r>
    </w:p>
    <w:p>
      <w:pPr>
        <w:spacing w:line="360" w:lineRule="auto"/>
        <w:ind w:firstLine="620" w:firstLineChars="200"/>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（1）投标人应符合《中华人民共和国政府采购法》第二十二条规定的条件；</w:t>
      </w:r>
    </w:p>
    <w:p>
      <w:pPr>
        <w:spacing w:line="360" w:lineRule="auto"/>
        <w:ind w:firstLine="620" w:firstLineChars="200"/>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（2）投标人必须是在中华人民共和国境内注册并取得营业执照的独立法人；</w:t>
      </w:r>
    </w:p>
    <w:p>
      <w:pPr>
        <w:spacing w:line="360" w:lineRule="auto"/>
        <w:ind w:firstLine="620" w:firstLineChars="200"/>
        <w:rPr>
          <w:rFonts w:ascii="仿宋_GB2312" w:hAnsi="Arial" w:eastAsia="仿宋_GB2312" w:cs="Arial"/>
          <w:color w:val="333333"/>
          <w:kern w:val="0"/>
          <w:sz w:val="31"/>
          <w:szCs w:val="31"/>
        </w:rPr>
      </w:pPr>
      <w:r>
        <w:rPr>
          <w:rFonts w:ascii="仿宋_GB2312" w:hAnsi="Arial" w:eastAsia="仿宋_GB2312" w:cs="Arial"/>
          <w:color w:val="333333"/>
          <w:kern w:val="0"/>
          <w:sz w:val="31"/>
          <w:szCs w:val="31"/>
        </w:rPr>
        <w:t>（3）</w:t>
      </w:r>
      <w:r>
        <w:rPr>
          <w:rFonts w:hint="eastAsia" w:ascii="仿宋_GB2312" w:hAnsi="Arial" w:eastAsia="仿宋_GB2312" w:cs="Arial"/>
          <w:color w:val="333333"/>
          <w:kern w:val="0"/>
          <w:sz w:val="31"/>
          <w:szCs w:val="31"/>
        </w:rPr>
        <w:t xml:space="preserve">本项目硬件设备不接受进口产品投标； </w:t>
      </w:r>
    </w:p>
    <w:p>
      <w:pPr>
        <w:spacing w:line="360" w:lineRule="auto"/>
        <w:ind w:firstLine="620" w:firstLineChars="200"/>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（4）本次招标接受联合体投标，联合体成员单位不超过2家。</w:t>
      </w:r>
    </w:p>
    <w:p>
      <w:pPr>
        <w:autoSpaceDE w:val="0"/>
        <w:autoSpaceDN w:val="0"/>
        <w:adjustRightInd w:val="0"/>
        <w:snapToGrid w:val="0"/>
        <w:spacing w:line="360" w:lineRule="auto"/>
        <w:ind w:firstLine="482"/>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B包：</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在中国境内注册的独立法人企业；</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（2）具有良好的商业信誉和健全的财务制度；</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（3）具有履行合同所必需的设备和专业技术能力；</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（4）具有依法缴纳税收和社会保障资金的良好记录；</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（5）参加政府采购活动的前三年内，在经营活动中没有重大违法记录；</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（6）具有</w:t>
      </w:r>
      <w:r>
        <w:rPr>
          <w:rFonts w:ascii="仿宋" w:hAnsi="仿宋" w:eastAsia="仿宋"/>
          <w:sz w:val="32"/>
          <w:szCs w:val="32"/>
        </w:rPr>
        <w:t>有效</w:t>
      </w:r>
      <w:r>
        <w:rPr>
          <w:rFonts w:hint="eastAsia" w:ascii="仿宋" w:hAnsi="仿宋" w:eastAsia="仿宋"/>
          <w:sz w:val="32"/>
          <w:szCs w:val="32"/>
        </w:rPr>
        <w:t>的</w:t>
      </w:r>
      <w:r>
        <w:rPr>
          <w:rFonts w:ascii="仿宋" w:hAnsi="仿宋" w:eastAsia="仿宋"/>
          <w:sz w:val="32"/>
          <w:szCs w:val="32"/>
        </w:rPr>
        <w:t>信息系统工程监理</w:t>
      </w:r>
      <w:r>
        <w:rPr>
          <w:rFonts w:hint="eastAsia" w:ascii="仿宋" w:hAnsi="仿宋" w:eastAsia="仿宋"/>
          <w:sz w:val="32"/>
          <w:szCs w:val="32"/>
        </w:rPr>
        <w:t>乙级</w:t>
      </w:r>
      <w:r>
        <w:rPr>
          <w:rFonts w:ascii="仿宋" w:hAnsi="仿宋" w:eastAsia="仿宋"/>
          <w:sz w:val="32"/>
          <w:szCs w:val="32"/>
        </w:rPr>
        <w:t>及以上资质</w:t>
      </w:r>
      <w:r>
        <w:rPr>
          <w:rFonts w:hint="eastAsia" w:ascii="仿宋" w:hAnsi="仿宋" w:eastAsia="仿宋"/>
          <w:sz w:val="32"/>
          <w:szCs w:val="32"/>
        </w:rPr>
        <w:t>；</w:t>
      </w:r>
    </w:p>
    <w:p>
      <w:pPr>
        <w:widowControl/>
        <w:shd w:val="clear" w:color="auto" w:fill="FFFFFF"/>
        <w:spacing w:line="360" w:lineRule="auto"/>
        <w:ind w:left="420"/>
        <w:rPr>
          <w:rFonts w:ascii="仿宋" w:hAnsi="仿宋" w:eastAsia="仿宋"/>
          <w:sz w:val="32"/>
          <w:szCs w:val="32"/>
        </w:rPr>
      </w:pPr>
      <w:r>
        <w:rPr>
          <w:rFonts w:hint="eastAsia" w:ascii="仿宋" w:hAnsi="仿宋" w:eastAsia="仿宋"/>
          <w:sz w:val="32"/>
          <w:szCs w:val="32"/>
        </w:rPr>
        <w:t>（7）本项目不接受联合体投标。</w:t>
      </w:r>
    </w:p>
    <w:p>
      <w:pPr>
        <w:pStyle w:val="2"/>
        <w:rPr>
          <w:rFonts w:ascii="黑体" w:hAnsi="黑体" w:eastAsia="黑体" w:cs="Arial"/>
          <w:color w:val="000000"/>
          <w:kern w:val="0"/>
          <w:sz w:val="31"/>
          <w:szCs w:val="31"/>
        </w:rPr>
      </w:pPr>
      <w:r>
        <w:rPr>
          <w:rFonts w:hint="eastAsia" w:ascii="黑体" w:hAnsi="黑体" w:eastAsia="黑体" w:cs="Arial"/>
          <w:color w:val="000000"/>
          <w:kern w:val="0"/>
          <w:sz w:val="31"/>
          <w:szCs w:val="31"/>
        </w:rPr>
        <w:t>（三）项目需求</w:t>
      </w:r>
    </w:p>
    <w:p>
      <w:pPr>
        <w:widowControl/>
        <w:wordWrap w:val="0"/>
        <w:ind w:firstLine="620" w:firstLineChars="200"/>
        <w:rPr>
          <w:rFonts w:hint="eastAsia"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A包：</w:t>
      </w:r>
    </w:p>
    <w:p>
      <w:pPr>
        <w:widowControl/>
        <w:wordWrap w:val="0"/>
        <w:ind w:firstLine="620" w:firstLineChars="20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一、建设原则和策略</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（一）统筹规划。项目规划要统一设计、统一标准、统一规范。</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（二）统一标准。按照相关法律法规、业务规范和信息化标准。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（三）深化应用。各平台和系统的建设都要从食品药品监管工作的实际需求出发，以应用为主导。</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（四）技术先进。力求采用先进的云计算、大数据、物联网、移动互联网等信息技术使食品药品监管信息化系统具有较长的生命周期。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（五）经济实用。项目建设要根据食品药品监管信息化的实际需求安排建设投资。</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（六）确保安全。网络系统和硬件、软件的设计都要充分考虑安全保密，尽量采用国内产品和安全可靠的技术，保证建成的系统安全稳定运行。</w:t>
      </w:r>
    </w:p>
    <w:p>
      <w:pPr>
        <w:widowControl/>
        <w:wordWrap w:val="0"/>
        <w:ind w:firstLine="620" w:firstLineChars="20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二、建设目标</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（一）建设目标</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根据国家总局和河南省食品药品安全监管信息化建设总体规划，按照各级政府的要求并结合我市实际情况，充分利用现代信息技术，科学进行顶层设计，推进食品药品监管信息化工作开展，完成“一平台、一中心、三大支撑体系、七大应用系统”的整体目标，全面提升我市食品药品安全监管水平、公共服务水平和决策水平。</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（二）本期建设目标</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根据我市食品药品监管的现状及业务要求，促进食品药品安全监管工作相关部门间的业务协同与互动。着重移动执法管理系统、协同办公管理系统、舆情监测管理系统和综合指挥中心等业务平台，初步实现食品药品信息化监管能力的建设，促进食品药品安全监管和公众服务水平的不断提高。</w:t>
      </w:r>
    </w:p>
    <w:p>
      <w:pPr>
        <w:widowControl/>
        <w:wordWrap w:val="0"/>
        <w:ind w:firstLine="620" w:firstLineChars="20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三、技术要求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系统的设计和实现充分考虑利用相关信息化建设的基础，系统的技术路线与未来建设方向保持一致，遵循总体规划要求，满足招标要求。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（一）技术需求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1、总体性</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针对许昌</w:t>
      </w:r>
      <w:r>
        <w:rPr>
          <w:rFonts w:hint="eastAsia" w:ascii="仿宋_GB2312" w:hAnsi="Arial" w:eastAsia="仿宋_GB2312" w:cs="Arial"/>
          <w:color w:val="000000"/>
          <w:kern w:val="0"/>
          <w:sz w:val="31"/>
          <w:szCs w:val="31"/>
        </w:rPr>
        <w:t>市</w:t>
      </w:r>
      <w:r>
        <w:rPr>
          <w:rFonts w:ascii="仿宋_GB2312" w:hAnsi="Arial" w:eastAsia="仿宋_GB2312" w:cs="Arial"/>
          <w:color w:val="000000"/>
          <w:kern w:val="0"/>
          <w:sz w:val="31"/>
          <w:szCs w:val="31"/>
        </w:rPr>
        <w:t>食品药品监管现状</w:t>
      </w:r>
      <w:r>
        <w:rPr>
          <w:rFonts w:hint="eastAsia" w:ascii="仿宋_GB2312" w:hAnsi="Arial" w:eastAsia="仿宋_GB2312" w:cs="Arial"/>
          <w:color w:val="000000"/>
          <w:kern w:val="0"/>
          <w:sz w:val="31"/>
          <w:szCs w:val="31"/>
        </w:rPr>
        <w:t>，</w:t>
      </w:r>
      <w:r>
        <w:rPr>
          <w:rFonts w:ascii="仿宋_GB2312" w:hAnsi="Arial" w:eastAsia="仿宋_GB2312" w:cs="Arial"/>
          <w:color w:val="000000"/>
          <w:kern w:val="0"/>
          <w:sz w:val="31"/>
          <w:szCs w:val="31"/>
        </w:rPr>
        <w:t>整体描述食品药品监管信息化蓝图</w:t>
      </w:r>
      <w:r>
        <w:rPr>
          <w:rFonts w:hint="eastAsia" w:ascii="仿宋_GB2312" w:hAnsi="Arial" w:eastAsia="仿宋_GB2312" w:cs="Arial"/>
          <w:color w:val="000000"/>
          <w:kern w:val="0"/>
          <w:sz w:val="31"/>
          <w:szCs w:val="31"/>
        </w:rPr>
        <w:t>，阐述</w:t>
      </w:r>
      <w:r>
        <w:rPr>
          <w:rFonts w:ascii="仿宋_GB2312" w:hAnsi="Arial" w:eastAsia="仿宋_GB2312" w:cs="Arial"/>
          <w:color w:val="000000"/>
          <w:kern w:val="0"/>
          <w:sz w:val="31"/>
          <w:szCs w:val="31"/>
        </w:rPr>
        <w:t>信息化建设总体内容</w:t>
      </w:r>
      <w:r>
        <w:rPr>
          <w:rFonts w:hint="eastAsia" w:ascii="仿宋_GB2312" w:hAnsi="Arial" w:eastAsia="仿宋_GB2312" w:cs="Arial"/>
          <w:color w:val="000000"/>
          <w:kern w:val="0"/>
          <w:sz w:val="31"/>
          <w:szCs w:val="31"/>
        </w:rPr>
        <w:t>。</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2、先进性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实现系统的先进性，主要从以下方面考虑：</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（1）体系结构的先进性；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（2）技术水平的先进性；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（3）应用设计的先进性；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（4）测试手段的先进性。</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3</w:t>
      </w:r>
      <w:r>
        <w:rPr>
          <w:rFonts w:hint="eastAsia" w:ascii="仿宋_GB2312" w:hAnsi="Arial" w:eastAsia="仿宋_GB2312" w:cs="Arial"/>
          <w:color w:val="000000"/>
          <w:kern w:val="0"/>
          <w:sz w:val="31"/>
          <w:szCs w:val="31"/>
        </w:rPr>
        <w:t>、实用性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实用性主要从以下方面考虑：</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（1）界面的友好程度；</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（2）业务灵活性的支持；</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（3）实现的难易程度；</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（4）产品的稳定性和效率。</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4</w:t>
      </w:r>
      <w:r>
        <w:rPr>
          <w:rFonts w:hint="eastAsia" w:ascii="仿宋_GB2312" w:hAnsi="Arial" w:eastAsia="仿宋_GB2312" w:cs="Arial"/>
          <w:color w:val="000000"/>
          <w:kern w:val="0"/>
          <w:sz w:val="31"/>
          <w:szCs w:val="31"/>
        </w:rPr>
        <w:t>、高可靠性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主要从以下方面考虑：</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（1）根据系统的重要程度，制定可靠性级别；</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（2）做到内部系统和对外服务系统的单一接口，对该接口建立良好的安全监控机制；</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（3）利用多种手段加强对资源的有效保护。</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5</w:t>
      </w:r>
      <w:r>
        <w:rPr>
          <w:rFonts w:hint="eastAsia" w:ascii="仿宋_GB2312" w:hAnsi="Arial" w:eastAsia="仿宋_GB2312" w:cs="Arial"/>
          <w:color w:val="000000"/>
          <w:kern w:val="0"/>
          <w:sz w:val="31"/>
          <w:szCs w:val="31"/>
        </w:rPr>
        <w:t>、开放性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开放性设计主要从以下方面考虑：</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（1）体系结构的开放性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（2）软件产品选择的开放性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（3）技术路线的开放性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（4）应用设计的开放性</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6</w:t>
      </w:r>
      <w:r>
        <w:rPr>
          <w:rFonts w:hint="eastAsia" w:ascii="仿宋_GB2312" w:hAnsi="Arial" w:eastAsia="仿宋_GB2312" w:cs="Arial"/>
          <w:color w:val="000000"/>
          <w:kern w:val="0"/>
          <w:sz w:val="31"/>
          <w:szCs w:val="31"/>
        </w:rPr>
        <w:t>、可维护性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系统应该具有良好的可维护性，主要从以下方面考虑：</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（1）系统维护</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（2）安全策略维护</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（3）应用变化维护</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7</w:t>
      </w:r>
      <w:r>
        <w:rPr>
          <w:rFonts w:hint="eastAsia" w:ascii="仿宋_GB2312" w:hAnsi="Arial" w:eastAsia="仿宋_GB2312" w:cs="Arial"/>
          <w:color w:val="000000"/>
          <w:kern w:val="0"/>
          <w:sz w:val="31"/>
          <w:szCs w:val="31"/>
        </w:rPr>
        <w:t>、可伸缩性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系统的可伸缩性主要从以下方面考虑：</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（1）数据量增长时具有良好的伸缩性；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（2）用户增长时具有良好的伸缩性；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（3）应用系统增加时的伸缩性；</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8</w:t>
      </w:r>
      <w:r>
        <w:rPr>
          <w:rFonts w:hint="eastAsia" w:ascii="仿宋_GB2312" w:hAnsi="Arial" w:eastAsia="仿宋_GB2312" w:cs="Arial"/>
          <w:color w:val="000000"/>
          <w:kern w:val="0"/>
          <w:sz w:val="31"/>
          <w:szCs w:val="31"/>
        </w:rPr>
        <w:t>、可移植性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（1）良好开放性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（2）数据库类型无关</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（3）应用服务器无关</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（4）硬件/操作系统平台无关</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9</w:t>
      </w:r>
      <w:r>
        <w:rPr>
          <w:rFonts w:hint="eastAsia" w:ascii="仿宋_GB2312" w:hAnsi="Arial" w:eastAsia="仿宋_GB2312" w:cs="Arial"/>
          <w:color w:val="000000"/>
          <w:kern w:val="0"/>
          <w:sz w:val="31"/>
          <w:szCs w:val="31"/>
        </w:rPr>
        <w:t>、对象的重复可用性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各项服务可集中在一起管理，统一服务于客户端，可以重用于其他系统，具备良好的容错能力和负载平衡能力。</w:t>
      </w:r>
    </w:p>
    <w:p>
      <w:pPr>
        <w:widowControl/>
        <w:wordWrap w:val="0"/>
        <w:ind w:firstLine="630"/>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10</w:t>
      </w:r>
      <w:r>
        <w:rPr>
          <w:rFonts w:hint="eastAsia" w:ascii="仿宋_GB2312" w:hAnsi="Arial" w:eastAsia="仿宋_GB2312" w:cs="Arial"/>
          <w:color w:val="000000"/>
          <w:kern w:val="0"/>
          <w:sz w:val="31"/>
          <w:szCs w:val="31"/>
        </w:rPr>
        <w:t>、安全保密性</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为保障全系统的安全保密性，需要建立：</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（1）面向系统的安全管理机制</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（2）面向用户的安全管理机制</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（二）技术路线</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1、Java EE</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JavaEE是支持企业级计算系统的成熟技术路线。结合市食药监局大部分业务应用的现状，以及跨平台、跨系统特性要求，操作和维护简易化需求，包括将来处理数据、适应发展变化的需要，本项目建设应选择Java EE体系架构。</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2、DB和OS</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系统兼容大型关系型数据库（DB）及各类主流服务器操作系统（OS）。具体而言，需至少支持ORACLE、SQL SERVER、MySQL等各种大型的主流关系型数据库；同时支持Windows、Linux等各种操作系统。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3、Webservice</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Web Service技术能使运行在不同机器上的不同应用无须借助附加的、专门的第三方软件或硬件，就可相互交换数据或集成，满足异构平台数据集成及应用交互的需求。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4、B/S结构</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系统基于B/S结构进行设计运行，在任何地方进行操作而不用安装任何专门的软件，只要有一台能上网的电脑就能使用，客户端零维护，系统的扩展非常容易。</w:t>
      </w:r>
    </w:p>
    <w:p>
      <w:pPr>
        <w:widowControl/>
        <w:wordWrap w:val="0"/>
        <w:ind w:firstLine="620" w:firstLineChars="20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四、系统功能需求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（一）移动执法管理系统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1、移动执法管理系统需求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移动执法管理系统利用移动通信网络，帮助食品药品安全监管执法人员实现执法现场情况的快速准确描述，实现食品药品安全监管各业务系统的实时数据交互，基于移动执法支撑服务系统实现在监管现场进行信息查询、许可核查、巡查监管、信息反馈、调度管理、绩效考核等。</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2、部署架构需求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移动执法设备基于互联网实现接入，通过访问移动执法应用服务器获取需要的服务，保证移动设备访问请求的及时响应，保证服务的不间断持续运行。</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3、移动执法设备需求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（1）移动手持终端</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支持</w:t>
      </w:r>
      <w:r>
        <w:rPr>
          <w:rFonts w:ascii="仿宋_GB2312" w:hAnsi="Arial" w:eastAsia="仿宋_GB2312" w:cs="Arial"/>
          <w:color w:val="000000"/>
          <w:kern w:val="0"/>
          <w:sz w:val="31"/>
          <w:szCs w:val="31"/>
        </w:rPr>
        <w:t>3G/4G(</w:t>
      </w:r>
      <w:r>
        <w:rPr>
          <w:rFonts w:hint="eastAsia" w:ascii="仿宋_GB2312" w:hAnsi="Arial" w:eastAsia="仿宋_GB2312" w:cs="Arial"/>
          <w:color w:val="000000"/>
          <w:kern w:val="0"/>
          <w:sz w:val="31"/>
          <w:szCs w:val="31"/>
        </w:rPr>
        <w:t>全网通</w:t>
      </w:r>
      <w:r>
        <w:rPr>
          <w:rFonts w:ascii="仿宋_GB2312" w:hAnsi="Arial" w:eastAsia="仿宋_GB2312" w:cs="Arial"/>
          <w:color w:val="000000"/>
          <w:kern w:val="0"/>
          <w:sz w:val="31"/>
          <w:szCs w:val="31"/>
        </w:rPr>
        <w:t>)</w:t>
      </w:r>
      <w:r>
        <w:rPr>
          <w:rFonts w:hint="eastAsia" w:ascii="仿宋_GB2312" w:hAnsi="Arial" w:eastAsia="仿宋_GB2312" w:cs="Arial"/>
          <w:color w:val="000000"/>
          <w:kern w:val="0"/>
          <w:sz w:val="31"/>
          <w:szCs w:val="31"/>
        </w:rPr>
        <w:t>的无线智能手持终端</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支持集群对讲、语音调度、视频调度、</w:t>
      </w:r>
      <w:r>
        <w:rPr>
          <w:rFonts w:ascii="仿宋_GB2312" w:hAnsi="Arial" w:eastAsia="仿宋_GB2312" w:cs="Arial"/>
          <w:color w:val="000000"/>
          <w:kern w:val="0"/>
          <w:sz w:val="31"/>
          <w:szCs w:val="31"/>
        </w:rPr>
        <w:t>GPS</w:t>
      </w:r>
      <w:r>
        <w:rPr>
          <w:rFonts w:hint="eastAsia" w:ascii="仿宋_GB2312" w:hAnsi="Arial" w:eastAsia="仿宋_GB2312" w:cs="Arial"/>
          <w:color w:val="000000"/>
          <w:kern w:val="0"/>
          <w:sz w:val="31"/>
          <w:szCs w:val="31"/>
        </w:rPr>
        <w:t>定位、数据采集。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（2）移动手持集群调度终端</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支持</w:t>
      </w:r>
      <w:r>
        <w:rPr>
          <w:rFonts w:ascii="仿宋_GB2312" w:hAnsi="Arial" w:eastAsia="仿宋_GB2312" w:cs="Arial"/>
          <w:color w:val="000000"/>
          <w:kern w:val="0"/>
          <w:sz w:val="31"/>
          <w:szCs w:val="31"/>
        </w:rPr>
        <w:t>3G/4G</w:t>
      </w:r>
      <w:r>
        <w:rPr>
          <w:rFonts w:hint="eastAsia" w:ascii="仿宋_GB2312" w:hAnsi="Arial" w:eastAsia="仿宋_GB2312" w:cs="Arial"/>
          <w:color w:val="000000"/>
          <w:kern w:val="0"/>
          <w:sz w:val="31"/>
          <w:szCs w:val="31"/>
        </w:rPr>
        <w:t>无线网络制式；</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集图像回传、视频回传、集群对讲、数据作业、</w:t>
      </w:r>
      <w:r>
        <w:rPr>
          <w:rFonts w:ascii="仿宋_GB2312" w:hAnsi="Arial" w:eastAsia="仿宋_GB2312" w:cs="Arial"/>
          <w:color w:val="000000"/>
          <w:kern w:val="0"/>
          <w:sz w:val="31"/>
          <w:szCs w:val="31"/>
        </w:rPr>
        <w:t>GPS</w:t>
      </w:r>
      <w:r>
        <w:rPr>
          <w:rFonts w:hint="eastAsia" w:ascii="仿宋_GB2312" w:hAnsi="Arial" w:eastAsia="仿宋_GB2312" w:cs="Arial"/>
          <w:color w:val="000000"/>
          <w:kern w:val="0"/>
          <w:sz w:val="31"/>
          <w:szCs w:val="31"/>
        </w:rPr>
        <w:t>定位于一体；</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支持硬件视频编解码技术、多点触控技术。</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（3）终端采购需求</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移动手持终端</w:t>
      </w:r>
      <w:r>
        <w:rPr>
          <w:rFonts w:ascii="仿宋_GB2312" w:hAnsi="Arial" w:eastAsia="仿宋_GB2312" w:cs="Arial"/>
          <w:color w:val="000000"/>
          <w:kern w:val="0"/>
          <w:sz w:val="31"/>
          <w:szCs w:val="31"/>
        </w:rPr>
        <w:t>100</w:t>
      </w:r>
      <w:r>
        <w:rPr>
          <w:rFonts w:hint="eastAsia" w:ascii="仿宋_GB2312" w:hAnsi="Arial" w:eastAsia="仿宋_GB2312" w:cs="Arial"/>
          <w:color w:val="000000"/>
          <w:kern w:val="0"/>
          <w:sz w:val="31"/>
          <w:szCs w:val="31"/>
        </w:rPr>
        <w:t>个</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移动手持集群调度终端</w:t>
      </w:r>
      <w:r>
        <w:rPr>
          <w:rFonts w:ascii="仿宋_GB2312" w:hAnsi="Arial" w:eastAsia="仿宋_GB2312" w:cs="Arial"/>
          <w:color w:val="000000"/>
          <w:kern w:val="0"/>
          <w:sz w:val="31"/>
          <w:szCs w:val="31"/>
        </w:rPr>
        <w:t>20</w:t>
      </w:r>
      <w:r>
        <w:rPr>
          <w:rFonts w:hint="eastAsia" w:ascii="仿宋_GB2312" w:hAnsi="Arial" w:eastAsia="仿宋_GB2312" w:cs="Arial"/>
          <w:color w:val="000000"/>
          <w:kern w:val="0"/>
          <w:sz w:val="31"/>
          <w:szCs w:val="31"/>
        </w:rPr>
        <w:t>个</w:t>
      </w:r>
    </w:p>
    <w:p>
      <w:pPr>
        <w:pStyle w:val="14"/>
        <w:widowControl/>
        <w:numPr>
          <w:ilvl w:val="0"/>
          <w:numId w:val="1"/>
        </w:numPr>
        <w:wordWrap w:val="0"/>
        <w:ind w:firstLineChars="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移动执法支撑服务系统用户授权不少于</w:t>
      </w:r>
      <w:r>
        <w:rPr>
          <w:rFonts w:ascii="仿宋_GB2312" w:hAnsi="Arial" w:eastAsia="仿宋_GB2312" w:cs="Arial"/>
          <w:color w:val="000000"/>
          <w:kern w:val="0"/>
          <w:sz w:val="31"/>
          <w:szCs w:val="31"/>
        </w:rPr>
        <w:t>120</w:t>
      </w:r>
      <w:r>
        <w:rPr>
          <w:rFonts w:hint="eastAsia" w:ascii="仿宋_GB2312" w:hAnsi="Arial" w:eastAsia="仿宋_GB2312" w:cs="Arial"/>
          <w:color w:val="000000"/>
          <w:kern w:val="0"/>
          <w:sz w:val="31"/>
          <w:szCs w:val="31"/>
        </w:rPr>
        <w:t>用户</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（二）舆情监测系统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1、建设内容</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建立市、县、乡三级食品药品安全舆情监测网络，重点监测我市食品药品安全舆情信息，开展食品药品安全风险分析，及时掌握突发事件进展情况并分析研判，做好应急处置。</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2、建设目标</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敏感舆情早发现、早筛查、早预警，为应急指挥部署和日常监管执法工作提供及时、全面、科学、准确的决策支持。实现全方位覆盖，实时监测、实现精准抓取，聚合排序、实现动态追踪，及时预警、实现图文呈现，自动报表。</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3、业务流程</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市级各监管部门可使用舆情信息监看完成对食品药品安全舆情的接受、监看、编辑、办理、汇总、统计、反馈等管理操作。完成食品药品安全舆情信息的基础分析、报送和跟踪等功能，对市、县各级单位进行业务指导。</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4、系统功能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（1）舆情信息采集子系统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实现主要知名网络以及对食品药品安全舆论传播有着影响力的新闻站点的监测，自动采集舆情信息，包括信息源定制、信息检索、实时监测、热点信息提取、智能过滤、自动去重、智能存储、趋势分析、RSS 解析等功能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（2）舆情监测管理子系统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通过舆情管理工具，确保舆情监测的内容、方向、形式、范围等内容符合食品药品安全监管要求，实现食品药品安全舆情监测的广泛性，满足监测内容的精确性。包括配置管理、浏览展示、敏感词库、信息检索等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（3）舆情分析与处理子系统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自动摘要提取、自动敏感词提取、自动分类、自动聚类、主题检测、相关推荐、自动排重、自动过滤等智能分析处理功能。实现热点舆情分析、识别等主要手段，帮助监管人员正确、及时掌握互联网热点信息和突发事件。</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（4）决策支持子系统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实现最近24小时内的舆情监测信息。将采集入库的数据经分析处理后展示在应用界面，重要敏感信息实时推送预警。实现专题追踪、研判预警、舆情报告等业务功能。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（5）信息存储子系统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建立舆情管理的临时信息存储机制和集中存储机制。实现舆情信息的临时存储便于系统进一步实现智能分析；建立信息集中存储实现所存储的数字内容的动态增值。</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（6）系统管理子系统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实现包括用户权限管理、关键词维护、模块维护、监测配置管理、日志管理在内的系统管理功能。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（三）协同办公系统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协同办公系统是实现各业务部门整合与协作，提高人员、部门的办事效率，从而促进内部办公的整体办事效率。</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1、个人事务</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（1）内部邮箱</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实现WebMail操作模式的邮件处理将内、外收发邮件的操作浑然一体实现内部邮件与外部邮件系统的集成，统一入口，内部、外部邮件实现共享。</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（2）工作办理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工作办理让用户集中或分类处理需要办理的工作流任务，当接收到一个新任务或尚未办理完成时，都会自动显示在待办列表中。</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（3）信息资讯</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信息资讯列出了自己可有权看到的各种分类共项信息，实现栏目管理、信息发布审批、安全及权限、信息查看、内容管理等。</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（4）报表中心</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基于协同办公系统提供的报表工具，用户可自行定义各种形式报表，包括简单报表、二维统计分析表(图)、交叉报表等。</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（5）日程计划</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个人日程的安排与协同，可使日程安排协同到个人的邮件、工作办理、工作计划当中去。同时可实现领导日程安排功能。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（6）计划考核</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计划是个人向上级领导汇报个人工作情况和部门向高层汇报部门工作情况的子系统。用户可以按日、周、月、季、年分别汇报个人或部门各阶段性工作的详细情况。实现图表分析工具，可对下属员工或部门上报的工作报告做统计分析，以更好地贯彻执行各项工作任务。</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（7）单位通讯录</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实现内部通讯录的管理功能。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（8）个人通讯录</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实现个人通讯录管理功能。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（9）记事本</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为用户提供私人网络记事本。</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（10）即时通讯</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即时通讯为用户搭建了一个快速、便捷的内外部沟通平台，实时提醒办公系统个人办公的在线或离线信息用户无论身处何地，随时随地登录，实现远程办公。即时通讯系统实现在线状态感知、即时消息收发、文件传输、消息提醒、部门和用户的操作等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（11）电子论坛</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实现内部交流的bbs论坛。</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（12）个人帐户信息</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实现个人账户管理功能。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2、公文管理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协同办公系统实现自主按照行政公文的格式标准设计本单位的行文格式，并能够按照行政公文的处理要求严格设计和维护收发文流程，并可对表单数据操作权限进行严格的控制。</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提供强大的流程监控工具，供办理者对收、发文等公文管理子模块流程的整个过程进行跟踪，对紧急公文进行催办、超时提醒、特殊处理，并可将流程按照业务类别授权给相关用户和领导，对整个流程进行监控、督办。</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公文的格式可以通过模板随时进行设置调整，可以定义在指定节点范围内进行传阅。系统提供的功能模块包括：发文管理、收文管理。每个模块的具体流程可以根据规定而分别配置。</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（1）发文管理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根据行政公文的办理要求，自定义发文格式以及拟稿、审核、签报、会签、签批、制发、承办、催办、归档、查询、打印、转发、传阅、销毁等标准发文功能，可指定或随机选取相关部门或个人会签，然后交由领导签发，办理完毕后手工或自动归入档案系统。功能包括：流程查看、发文拟稿、发文审批、收回功能、流程跳转、催办功能、查看意见、模版定制、自动留痕、流转日志、发文归档、发文查询等。</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（2）收文管理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由经办人对文件进行分类、登记、录入，方便用户在办理业务时也能直观而快捷地对各项收文业务跟踪、查询、监控，办理办公后可自动或手工归档。包括查看流程、收文登记、收文办理、收回功能、文档重置、收文催办、查看意见、收文查询、流转日志、收文归档等。</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（3）红头文件模板</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根据用户起草的文种不同，套用相应的红头文件，并控制红头文件隐藏或显示。</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3、公共信息</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实现内容主题和栏目的配置管理，对内容进行授权访问。包括通知公告、内部新闻、内部制度、机构建设、出勤考核、政策法规、服务信息、栏目与内容管理。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4、档案管理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实现完整的档案管理，实现了移库、移卷等一系列操作，为管理者提供条件检索功能。</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5、资产管理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实现固定资产从采购申请到入库及资产的领用、调拨、退库、送修、归还、报废的过程操作。支持采购信息导入和资产信息导入，可快速批量导入用户已有的资产信息。</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6、车辆管理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实现用车申请、审批、队安排等一系列车辆管理功能操作。包括：用车申请、领导审批、车队安排、用车费用、事故处理、车辆查询、统计、车辆信息设置、车辆信息、司机信息等</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7、报销管理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实现经费申请、费用报销、统计报表等模块的建设，在开展日常采购、经费申请、费用报销时，通过相关模块将报销数据传递到财务部门并处理。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8、系统管理</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系统管理是系统运行的基础管理，是系统运行的前提。实现组织结构管理、权限策略管理、流程运行管理、门户管理、数据维护工具、应用部署维护等功能模块</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（四）综合指挥中心</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综合指挥中心应采用视频监控、地理信息、GPS定位及数据智能分析等先进技术，实现视频、地图、专题分析等服务能力，为食品药品监管提供技术先进、业内领先的信息化管理工具，为领导决策提供有效的信息技术手段和数据支撑。整个系统架构应包括大屏幕显示系统、扩声系统、信号处理系统、集中控制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1、大屏幕显示系统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显示系统DLP全高清背投产品，单屏显示面积为1550mmx872mm，分辨率为1920x1080，采用2行4列的排列模式，每列显示单元间以1°拼接，形成一个弧形凹面以贴合工位及平台的布置以取得最佳的全局视觉效果。</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2、扩声系统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通过合理优化调试，完成对整个会场的扩声建设，保证满足指挥中心在不同场景应用下，扩声系统都能满足需求，保证在每个场景下的效果都是最佳的，通过专有的声场制造软件合理布置音响的位置，达到使用的要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3、信号处理系统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主要是采用数字混合矩阵来满足在音视频方面的传输，保证在输出端信号的完整性与信号的输出完美，不衰减。</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4、集中控制系统</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通过RS232或者RJ45信号控制所有接入到中控上的设备，达到集中管理的目的，不同的环境下有不同的管理场景，可以定制化编程设置。</w:t>
      </w:r>
    </w:p>
    <w:p>
      <w:pPr>
        <w:widowControl/>
        <w:wordWrap w:val="0"/>
        <w:ind w:firstLine="620" w:firstLineChars="20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五、安全保护需求</w:t>
      </w:r>
    </w:p>
    <w:p>
      <w:pPr>
        <w:widowControl/>
        <w:wordWrap w:val="0"/>
        <w:ind w:firstLine="63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食品药品安全监管信息化平台整体安全必须满足等保三级要求，等保三级系统安全保护环境的设计目标是：落实GB 17859-1999对三级系统的安全保护要求，在二级安全保护环境的基础上，通过实现基于安全策略模型和标记的强制访问控制以及增强系统的审计机制，使得系统具有在统一安全策略管控下，保护敏感资源的能力。</w:t>
      </w:r>
    </w:p>
    <w:p>
      <w:pPr>
        <w:widowControl/>
        <w:wordWrap w:val="0"/>
        <w:ind w:firstLine="620" w:firstLineChars="200"/>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六、软硬件采购列表</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（一）系统软件采购需求</w:t>
      </w:r>
    </w:p>
    <w:tbl>
      <w:tblPr>
        <w:tblStyle w:val="10"/>
        <w:tblW w:w="8756" w:type="dxa"/>
        <w:tblInd w:w="0" w:type="dxa"/>
        <w:tblLayout w:type="fixed"/>
        <w:tblCellMar>
          <w:top w:w="0" w:type="dxa"/>
          <w:left w:w="108" w:type="dxa"/>
          <w:bottom w:w="0" w:type="dxa"/>
          <w:right w:w="108" w:type="dxa"/>
        </w:tblCellMar>
      </w:tblPr>
      <w:tblGrid>
        <w:gridCol w:w="812"/>
        <w:gridCol w:w="1706"/>
        <w:gridCol w:w="5387"/>
        <w:gridCol w:w="851"/>
      </w:tblGrid>
      <w:tr>
        <w:tblPrEx>
          <w:tblLayout w:type="fixed"/>
          <w:tblCellMar>
            <w:top w:w="0" w:type="dxa"/>
            <w:left w:w="108" w:type="dxa"/>
            <w:bottom w:w="0" w:type="dxa"/>
            <w:right w:w="108" w:type="dxa"/>
          </w:tblCellMar>
        </w:tblPrEx>
        <w:trPr>
          <w:trHeight w:val="312" w:hRule="atLeast"/>
          <w:tblHeader/>
        </w:trPr>
        <w:tc>
          <w:tcPr>
            <w:tcW w:w="8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0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名称</w:t>
            </w:r>
          </w:p>
        </w:tc>
        <w:tc>
          <w:tcPr>
            <w:tcW w:w="53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配置参数</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r>
      <w:tr>
        <w:tblPrEx>
          <w:tblLayout w:type="fixed"/>
          <w:tblCellMar>
            <w:top w:w="0" w:type="dxa"/>
            <w:left w:w="108" w:type="dxa"/>
            <w:bottom w:w="0" w:type="dxa"/>
            <w:right w:w="108" w:type="dxa"/>
          </w:tblCellMar>
        </w:tblPrEx>
        <w:trPr>
          <w:trHeight w:val="288" w:hRule="atLeast"/>
        </w:trPr>
        <w:tc>
          <w:tcPr>
            <w:tcW w:w="8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w:t>
            </w:r>
          </w:p>
        </w:tc>
        <w:tc>
          <w:tcPr>
            <w:tcW w:w="170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工作流引擎</w:t>
            </w:r>
          </w:p>
        </w:tc>
        <w:tc>
          <w:tcPr>
            <w:tcW w:w="5387"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国产品牌，按500用户计算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Layout w:type="fixed"/>
          <w:tblCellMar>
            <w:top w:w="0" w:type="dxa"/>
            <w:left w:w="108" w:type="dxa"/>
            <w:bottom w:w="0" w:type="dxa"/>
            <w:right w:w="108" w:type="dxa"/>
          </w:tblCellMar>
        </w:tblPrEx>
        <w:trPr>
          <w:trHeight w:val="288" w:hRule="atLeast"/>
        </w:trPr>
        <w:tc>
          <w:tcPr>
            <w:tcW w:w="8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w:t>
            </w:r>
          </w:p>
        </w:tc>
        <w:tc>
          <w:tcPr>
            <w:tcW w:w="170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智能报表</w:t>
            </w:r>
          </w:p>
        </w:tc>
        <w:tc>
          <w:tcPr>
            <w:tcW w:w="5387"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国产品牌</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Layout w:type="fixed"/>
          <w:tblCellMar>
            <w:top w:w="0" w:type="dxa"/>
            <w:left w:w="108" w:type="dxa"/>
            <w:bottom w:w="0" w:type="dxa"/>
            <w:right w:w="108" w:type="dxa"/>
          </w:tblCellMar>
        </w:tblPrEx>
        <w:trPr>
          <w:trHeight w:val="288" w:hRule="atLeast"/>
        </w:trPr>
        <w:tc>
          <w:tcPr>
            <w:tcW w:w="8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w:t>
            </w:r>
          </w:p>
        </w:tc>
        <w:tc>
          <w:tcPr>
            <w:tcW w:w="170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即时通讯</w:t>
            </w:r>
          </w:p>
        </w:tc>
        <w:tc>
          <w:tcPr>
            <w:tcW w:w="5387"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按500用户计算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Layout w:type="fixed"/>
          <w:tblCellMar>
            <w:top w:w="0" w:type="dxa"/>
            <w:left w:w="108" w:type="dxa"/>
            <w:bottom w:w="0" w:type="dxa"/>
            <w:right w:w="108" w:type="dxa"/>
          </w:tblCellMar>
        </w:tblPrEx>
        <w:trPr>
          <w:trHeight w:val="576" w:hRule="atLeast"/>
        </w:trPr>
        <w:tc>
          <w:tcPr>
            <w:tcW w:w="8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w:t>
            </w:r>
          </w:p>
        </w:tc>
        <w:tc>
          <w:tcPr>
            <w:tcW w:w="170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搜索引擎</w:t>
            </w:r>
          </w:p>
        </w:tc>
        <w:tc>
          <w:tcPr>
            <w:tcW w:w="5387"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多数据源检索、海量数据高效处理、灵活的数据展现方式、丰富检索语法、支持分布式部署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bl>
    <w:p>
      <w:pPr>
        <w:widowControl/>
        <w:wordWrap w:val="0"/>
        <w:jc w:val="left"/>
        <w:rPr>
          <w:rFonts w:ascii="仿宋_GB2312" w:hAnsi="Arial" w:eastAsia="仿宋_GB2312" w:cs="Arial"/>
          <w:color w:val="000000"/>
          <w:kern w:val="0"/>
          <w:sz w:val="31"/>
          <w:szCs w:val="31"/>
        </w:rPr>
      </w:pP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（二）基础硬件及安全设备采购需求</w:t>
      </w:r>
    </w:p>
    <w:tbl>
      <w:tblPr>
        <w:tblStyle w:val="10"/>
        <w:tblpPr w:leftFromText="180" w:rightFromText="180" w:vertAnchor="text" w:tblpY="1"/>
        <w:tblOverlap w:val="never"/>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6"/>
        <w:gridCol w:w="553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869" w:type="dxa"/>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506" w:type="dxa"/>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名称</w:t>
            </w:r>
          </w:p>
        </w:tc>
        <w:tc>
          <w:tcPr>
            <w:tcW w:w="5530" w:type="dxa"/>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配置参数</w:t>
            </w:r>
          </w:p>
        </w:tc>
        <w:tc>
          <w:tcPr>
            <w:tcW w:w="859" w:type="dxa"/>
            <w:shd w:val="clear" w:color="000000" w:fill="FFFFFF"/>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64" w:type="dxa"/>
            <w:gridSpan w:val="4"/>
            <w:shd w:val="clear" w:color="000000" w:fill="FFFFFF"/>
            <w:vAlign w:val="center"/>
          </w:tcPr>
          <w:p>
            <w:pPr>
              <w:widowControl/>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1.1</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70英寸DLP背投拼接显示单元</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具有多点温度检测系统，在内部温度过高时，可以在大屏幕上以图像的方式警示，并在用户事先设置好的时间内自动关机;</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具有屏幕色彩自动调整功能，内置传感器，可分别检测红、绿、蓝三原色的输出值。自动校准功能可保证60000小时拼接规模内各个显示单元亮度及白平衡一致性；</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★单屏物理分辨率：1920×1080；</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★显示比例：16：9；</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★投影光源：LED光源；</w:t>
            </w:r>
          </w:p>
          <w:p>
            <w:pPr>
              <w:spacing w:line="460" w:lineRule="exac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ascii="仿宋" w:hAnsi="仿宋" w:eastAsia="仿宋" w:cs="宋体"/>
                <w:color w:val="000000"/>
                <w:kern w:val="0"/>
                <w:sz w:val="28"/>
                <w:szCs w:val="28"/>
              </w:rPr>
              <w:t>投影光机</w:t>
            </w:r>
            <w:r>
              <w:rPr>
                <w:rFonts w:hint="eastAsia" w:ascii="仿宋" w:hAnsi="仿宋" w:eastAsia="仿宋" w:cs="宋体"/>
                <w:color w:val="000000"/>
                <w:kern w:val="0"/>
                <w:sz w:val="28"/>
                <w:szCs w:val="28"/>
              </w:rPr>
              <w:t>：采用12度偏转角0.95" DMD（数字微镜装置）LVDS，核心DMD，镜头需采用大尺寸广角镜头，镜头尺寸不小于87 mm；</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★光源寿命≥60000小时；</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光学拼接缝隙≤0.06；</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对比度≥2000：1；</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亮度均匀性≥97%；</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★采用穿越拼接技术，相邻显示单元物理拼接缝隙≤0.05mm，提供中国计量科学研究院的缝隙检测报告复印件并加盖公章；同时光学拼缝≤0.1mm，在0°-40°之间受温度影响变化值≤0.01mm，提供检测报告加盖公章；</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★DLP显示单元、图像拼接处理器和控制软件均要求为同一厂家的产品；</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DLP显示单元需采用穿越技术解决热胀冷缩问题；</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DLP显示单元屏前的噪声≤21dB；</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DLP显示单元通过IP5X、光机通过IP6X防尘测试；</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平均无故障时间MTPF≥18万小时，MTTR平均修复时间小于30分钟，可用度大于99.999%，提供第三方检测报告复印件并加盖公章。</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DLP显示单元至少1路DVI信号输入并具备1路UTP数字接口，分辨率不低于1920*1080；</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需提供大屏显示单元和处理器的相关资质（3C、CE、CB、ROSH）。</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1.2</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液晶拼接显示墙底座</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屏幕拼接配套设备</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1.3</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专用线缆</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屏幕拼接配套线缆</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1.4</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工位电脑</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i5-4258U 4G 500G GT820M 2G独显 DVD刻录 Win8</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1.5</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显示器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23英寸IPS硬屏窄边广色域LED背光液晶显示器</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64" w:type="dxa"/>
            <w:gridSpan w:val="4"/>
            <w:shd w:val="clear" w:color="000000" w:fill="FFFFFF"/>
            <w:vAlign w:val="center"/>
          </w:tcPr>
          <w:p>
            <w:pPr>
              <w:widowControl/>
              <w:spacing w:line="46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（二）信号处理系统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2.1</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图像拼接处理器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★系统平台：纯硬件结构、无操作系统；</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启动时间：小于5秒；</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处理方式：超高带宽总线背板传输架构,多总线并行处理,每卡10G独立带宽,每显示通道显存512M；</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输入信号源种类： RGB/VGA、CVBS、S-Video 、YPbPr、DVI、HDMI、SDI(SD/HD)；</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计算机输入信号：4路DVI信号输入；</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输入信号分辨率： VGA,SVGA,XGA,SXGA,WXGA,SXGA+,UXGA,WSXGA+,WUXGA,720P,1080P/I, 刷新频率为60Hz；</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计算机输出信号：8路DVI信号;</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输出信号分辨率： VGA,SVGA,XGA,SXGA,WXGA,WXGA+,SXGA+,UXGA,WSXGA+,WUXGA,720P,1080P/I,（用户可自行调整分辨率）, 刷新频率为60Hz;</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控制：10/100 Base-T 以太网;RS-232，RJ45；</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工作环境：温度0～40摄氏度; 湿度 10～90％, 无凝露；</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电源：220VAC±10%  50Hz;</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2.2</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视频解码器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4路视频解码器，支持1080P</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64" w:type="dxa"/>
            <w:gridSpan w:val="4"/>
            <w:shd w:val="clear" w:color="000000" w:fill="FFFFFF"/>
            <w:vAlign w:val="center"/>
          </w:tcPr>
          <w:p>
            <w:pPr>
              <w:widowControl/>
              <w:spacing w:line="46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3.1</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主扩音箱</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1)3"(20 只)宽射程单元、阻抗8Ω                                        2)节目功率1000W/峰值功率2000W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3)最大声压级121dB                                                    4)频率响应175Hz–16kHz                                              5)与有源低音箱配合使用                                                6)黑色涂层                                                          7)高166.6cm、宽12.23cm、深16.2cm 、13.61kg</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3.2</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吸顶音响</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1)6"聚丙烯纸盆同轴单元和19mmPIE球顶高音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2)节目功率100W/峰值功率200W(阻抗8欧)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3)32W(定压70.7V)                                                       4)灵敏度（1M/1W)88db                                               </w:t>
            </w:r>
            <w:r>
              <w:rPr>
                <w:rFonts w:ascii="仿宋" w:hAnsi="仿宋" w:eastAsia="仿宋" w:cs="宋体"/>
                <w:color w:val="000000"/>
                <w:kern w:val="0"/>
                <w:sz w:val="28"/>
                <w:szCs w:val="28"/>
              </w:rPr>
              <w:t xml:space="preserve">    5)</w:t>
            </w:r>
            <w:r>
              <w:rPr>
                <w:rFonts w:hint="eastAsia" w:ascii="仿宋" w:hAnsi="仿宋" w:eastAsia="仿宋" w:cs="宋体"/>
                <w:color w:val="000000"/>
                <w:kern w:val="0"/>
                <w:sz w:val="28"/>
                <w:szCs w:val="28"/>
              </w:rPr>
              <w:t>频率响应（±</w:t>
            </w:r>
            <w:r>
              <w:rPr>
                <w:rFonts w:ascii="仿宋" w:hAnsi="仿宋" w:eastAsia="仿宋" w:cs="宋体"/>
                <w:color w:val="000000"/>
                <w:kern w:val="0"/>
                <w:sz w:val="28"/>
                <w:szCs w:val="28"/>
              </w:rPr>
              <w:t>7db)63Hz-20KHz                                                  6)</w:t>
            </w:r>
            <w:r>
              <w:rPr>
                <w:rFonts w:hint="eastAsia" w:ascii="仿宋" w:hAnsi="仿宋" w:eastAsia="仿宋" w:cs="宋体"/>
                <w:color w:val="000000"/>
                <w:kern w:val="0"/>
                <w:sz w:val="28"/>
                <w:szCs w:val="28"/>
              </w:rPr>
              <w:t>扩散角</w:t>
            </w:r>
            <w:r>
              <w:rPr>
                <w:rFonts w:ascii="仿宋" w:hAnsi="仿宋" w:eastAsia="仿宋" w:cs="宋体"/>
                <w:color w:val="000000"/>
                <w:kern w:val="0"/>
                <w:sz w:val="28"/>
                <w:szCs w:val="28"/>
              </w:rPr>
              <w:t xml:space="preserve"> 110</w:t>
            </w:r>
            <w:r>
              <w:rPr>
                <w:rFonts w:hint="eastAsia" w:ascii="微软雅黑" w:hAnsi="微软雅黑" w:eastAsia="微软雅黑" w:cs="微软雅黑"/>
                <w:color w:val="000000"/>
                <w:kern w:val="0"/>
                <w:sz w:val="28"/>
                <w:szCs w:val="28"/>
              </w:rPr>
              <w:t>˚</w:t>
            </w:r>
            <w:r>
              <w:rPr>
                <w:rFonts w:ascii="仿宋" w:hAnsi="仿宋" w:eastAsia="仿宋" w:cs="宋体"/>
                <w:color w:val="000000"/>
                <w:kern w:val="0"/>
                <w:sz w:val="28"/>
                <w:szCs w:val="28"/>
              </w:rPr>
              <w:t xml:space="preserve">                                                                  7)</w:t>
            </w:r>
            <w:r>
              <w:rPr>
                <w:rFonts w:hint="eastAsia" w:ascii="仿宋" w:hAnsi="仿宋" w:eastAsia="仿宋" w:cs="宋体"/>
                <w:color w:val="000000"/>
                <w:kern w:val="0"/>
                <w:sz w:val="28"/>
                <w:szCs w:val="28"/>
              </w:rPr>
              <w:t>直径</w:t>
            </w:r>
            <w:r>
              <w:rPr>
                <w:rFonts w:ascii="仿宋" w:hAnsi="仿宋" w:eastAsia="仿宋" w:cs="宋体"/>
                <w:color w:val="000000"/>
                <w:kern w:val="0"/>
                <w:sz w:val="28"/>
                <w:szCs w:val="28"/>
              </w:rPr>
              <w:t>318mm</w:t>
            </w:r>
            <w:r>
              <w:rPr>
                <w:rFonts w:hint="eastAsia" w:ascii="仿宋" w:hAnsi="仿宋" w:eastAsia="仿宋" w:cs="宋体"/>
                <w:color w:val="000000"/>
                <w:kern w:val="0"/>
                <w:sz w:val="28"/>
                <w:szCs w:val="28"/>
              </w:rPr>
              <w:t>高度</w:t>
            </w:r>
            <w:r>
              <w:rPr>
                <w:rFonts w:ascii="仿宋" w:hAnsi="仿宋" w:eastAsia="仿宋" w:cs="宋体"/>
                <w:color w:val="000000"/>
                <w:kern w:val="0"/>
                <w:sz w:val="28"/>
                <w:szCs w:val="28"/>
              </w:rPr>
              <w:t>215mm</w:t>
            </w:r>
            <w:r>
              <w:rPr>
                <w:rFonts w:hint="eastAsia" w:ascii="仿宋" w:hAnsi="仿宋" w:eastAsia="仿宋" w:cs="宋体"/>
                <w:color w:val="000000"/>
                <w:kern w:val="0"/>
                <w:sz w:val="28"/>
                <w:szCs w:val="28"/>
              </w:rPr>
              <w:t>、开孔直径</w:t>
            </w:r>
            <w:r>
              <w:rPr>
                <w:rFonts w:ascii="仿宋" w:hAnsi="仿宋" w:eastAsia="仿宋" w:cs="宋体"/>
                <w:color w:val="000000"/>
                <w:kern w:val="0"/>
                <w:sz w:val="28"/>
                <w:szCs w:val="28"/>
              </w:rPr>
              <w:t>279mm                                          8)</w:t>
            </w:r>
            <w:r>
              <w:rPr>
                <w:rFonts w:hint="eastAsia" w:ascii="仿宋" w:hAnsi="仿宋" w:eastAsia="仿宋" w:cs="宋体"/>
                <w:color w:val="000000"/>
                <w:kern w:val="0"/>
                <w:sz w:val="28"/>
                <w:szCs w:val="28"/>
              </w:rPr>
              <w:t>符合</w:t>
            </w:r>
            <w:r>
              <w:rPr>
                <w:rFonts w:ascii="仿宋" w:hAnsi="仿宋" w:eastAsia="仿宋" w:cs="宋体"/>
                <w:color w:val="000000"/>
                <w:kern w:val="0"/>
                <w:sz w:val="28"/>
                <w:szCs w:val="28"/>
              </w:rPr>
              <w:t>UL1480</w:t>
            </w:r>
            <w:r>
              <w:rPr>
                <w:rFonts w:hint="eastAsia" w:ascii="仿宋" w:hAnsi="仿宋" w:eastAsia="仿宋" w:cs="宋体"/>
                <w:color w:val="000000"/>
                <w:kern w:val="0"/>
                <w:sz w:val="28"/>
                <w:szCs w:val="28"/>
              </w:rPr>
              <w:t>安全标准</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3.3</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调音台</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1) 32个混音通道，LCR主输出，8AUX输出，4Maitrx输出，4个DCA编组，8个静音编组</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2）7"彩色显示屏、17个100mm电动推子，2个可自定义用户推子层,可通过IPAD和PC远程控制3）24bit 48KHz A/D和D/A转换，2个REAC扩展接口</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4）所有输入通道具有4段PEQ全参数均衡器，噪声门和压缩器</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 所有输出通道配备有Delay延时器、Limiter限幅器和8段PEQ全参数均衡器</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6）主机具有12个输入（最大90，使用REAC数字蛇设备），其中4路XLR输入，4路TRS输入，4路RCA输入，</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7）10个可分配的输出（最大90，使用REAC数字蛇设备），其中4个XLR输出，4个TRS输出、1个SPDIF光纤输出</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8）内置4个双通道效果器（可转换为4个31段GEQ）、4个31段GEQ</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9）内置USB录放端口，支持WAV无损音频格式</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10）支持M48个人混音系统及多通道现场录音/回放的集成</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11）内置RS232,MIDI IN/OUT控制接口</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3.4</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功率放大器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1)功率:8Ω700Wx2,4Ω1250Wx2,2Ω1600Wx2,8Ω桥接2500W,4Ω桥接3200W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2)频率响应： 20Hz - 20kHz，+/-0.5dB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3)总谐波失真： ≤ 0.05%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4)输入灵敏度： 32dB/1V/0.775V                                                5)信噪比： ≥ 100dB                                                        6)电压增益： 36dB                                                             7)阻尼系数： &gt; 500                                                                 8)转换速率： ≥ 10V/us                                                                      9)采用ClassD功放模块和高效可靠的R-SMPS稳压电源供电系统                                         10)集成有源功率因数校正电路(PFC)，使功率放大器更效率和可控                        11)XLR输入插座与链接插座                                                 12)SpeakON Nl4输出插座                                                              13)后板有输入灵敏度选择（32dB/1V/0.775V）                                          14)三种连接模式可设置（立体声/并接/桥接）                                           15)CCC认证</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3.5</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反馈抑制器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16个立体声动态数字滤波器,4个用户预设场景；频率响应20Hz-20kHz(+/-0.5dB，1kHz)；输入阻抗40kΩ,输出阻抗120kΩ；总谐波失真0.005%@1kHz。</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3.6</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多功能无线麦可风</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4路无线麦克风，2个手持，2个鹅颈</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64" w:type="dxa"/>
            <w:gridSpan w:val="4"/>
            <w:shd w:val="clear" w:color="000000" w:fill="FFFFFF"/>
            <w:vAlign w:val="center"/>
          </w:tcPr>
          <w:p>
            <w:pPr>
              <w:widowControl/>
              <w:spacing w:line="46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（四）智能中控系统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4.1</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屏幕控制软件</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大屏幕控制管理系统是根据所有软硬件产品独立开发的专用的大屏幕控制程序，采用本地化编程，全中文界面，支持窗口菜单、子窗口、树型目录等界面以及拖拽、双击、右键菜单选择等操作，界面简洁，操作方便</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通过大屏幕控制管理系统，可以实现对多个拼</w:t>
            </w:r>
            <w:r>
              <w:rPr>
                <w:rFonts w:hint="eastAsia" w:ascii="仿宋" w:hAnsi="仿宋" w:eastAsia="仿宋" w:cs="宋体"/>
                <w:color w:val="000000"/>
                <w:kern w:val="0"/>
                <w:sz w:val="28"/>
                <w:szCs w:val="28"/>
              </w:rPr>
              <w:t>接</w:t>
            </w:r>
            <w:r>
              <w:rPr>
                <w:rFonts w:ascii="仿宋" w:hAnsi="仿宋" w:eastAsia="仿宋" w:cs="宋体"/>
                <w:color w:val="000000"/>
                <w:kern w:val="0"/>
                <w:sz w:val="28"/>
                <w:szCs w:val="28"/>
              </w:rPr>
              <w:t>墙进行管理，使得即使当前或者未来用户的多个拼墙，可通过一套大屏幕控制管理系统即可进行集中的管理</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通过大屏幕控制管理系统，可以实现对拼</w:t>
            </w:r>
            <w:r>
              <w:rPr>
                <w:rFonts w:hint="eastAsia" w:ascii="仿宋" w:hAnsi="仿宋" w:eastAsia="仿宋" w:cs="宋体"/>
                <w:color w:val="000000"/>
                <w:kern w:val="0"/>
                <w:sz w:val="28"/>
                <w:szCs w:val="28"/>
              </w:rPr>
              <w:t>接</w:t>
            </w:r>
            <w:r>
              <w:rPr>
                <w:rFonts w:ascii="仿宋" w:hAnsi="仿宋" w:eastAsia="仿宋" w:cs="宋体"/>
                <w:color w:val="000000"/>
                <w:kern w:val="0"/>
                <w:sz w:val="28"/>
                <w:szCs w:val="28"/>
              </w:rPr>
              <w:t>墙的部分或者全部的投影机进行开、关操作，以及设置各信号的颜色和亮度等等操作</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大屏幕控制系统提供模式和预案的管理。操作员可对各种信号窗口的显示方式和布局保存成模式，或者根据时序定制为预案，在需要的时候进行调用，可实现自动化管理以及辅助客户演示过程的功能</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大屏幕控制软件需提供</w:t>
            </w:r>
            <w:r>
              <w:rPr>
                <w:rFonts w:hint="eastAsia" w:ascii="仿宋" w:hAnsi="仿宋" w:eastAsia="仿宋" w:cs="宋体"/>
                <w:color w:val="000000"/>
                <w:kern w:val="0"/>
                <w:sz w:val="28"/>
                <w:szCs w:val="28"/>
              </w:rPr>
              <w:t>的软件著作权登记证，复印件并加盖公章。</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产品需与大屏拼接系统同一厂家）</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4.2</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智能网络中央控制器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包含中控主机，paid控制设备，无线设备，中控软件</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4.3</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电源时序器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8口电源时序器，每路电流最大负载</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0A，</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4.4</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路由器</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450M无线企业级VPN路由器</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4.5</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16路继电器箱</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定制</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64" w:type="dxa"/>
            <w:gridSpan w:val="4"/>
            <w:shd w:val="clear" w:color="000000" w:fill="FFFFFF"/>
            <w:vAlign w:val="center"/>
          </w:tcPr>
          <w:p>
            <w:pPr>
              <w:widowControl/>
              <w:spacing w:line="46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5.1</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设备机柜</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标准机柜，800*</w:t>
            </w:r>
            <w:r>
              <w:rPr>
                <w:rFonts w:ascii="仿宋" w:hAnsi="仿宋" w:eastAsia="仿宋" w:cs="宋体"/>
                <w:color w:val="000000"/>
                <w:kern w:val="0"/>
                <w:sz w:val="28"/>
                <w:szCs w:val="28"/>
              </w:rPr>
              <w:t>1000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2000mm</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5.2</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交换机</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24口以太网交换机主机(24GE+2SFP Combo)</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5.3</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高清DVD</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蓝光DVD</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输出端口</w:t>
            </w:r>
            <w:r>
              <w:rPr>
                <w:rFonts w:hint="eastAsia" w:ascii="仿宋" w:hAnsi="仿宋" w:eastAsia="仿宋" w:cs="宋体"/>
                <w:color w:val="000000"/>
                <w:kern w:val="0"/>
                <w:sz w:val="28"/>
                <w:szCs w:val="28"/>
              </w:rPr>
              <w:t>：</w:t>
            </w:r>
            <w:r>
              <w:rPr>
                <w:rFonts w:ascii="Tahoma" w:hAnsi="Tahoma" w:cs="Tahoma"/>
                <w:color w:val="999999"/>
                <w:sz w:val="18"/>
                <w:szCs w:val="18"/>
                <w:shd w:val="clear" w:color="auto" w:fill="FFFFFF"/>
              </w:rPr>
              <w:t xml:space="preserve"> </w:t>
            </w:r>
            <w:r>
              <w:rPr>
                <w:rFonts w:ascii="仿宋" w:hAnsi="仿宋" w:eastAsia="仿宋" w:cs="宋体"/>
                <w:color w:val="000000"/>
                <w:kern w:val="0"/>
                <w:sz w:val="28"/>
                <w:szCs w:val="28"/>
              </w:rPr>
              <w:t>HDMI,USB,同轴，网络</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输入端口</w:t>
            </w:r>
            <w:r>
              <w:rPr>
                <w:rFonts w:hint="eastAsia" w:ascii="仿宋" w:hAnsi="仿宋" w:eastAsia="仿宋" w:cs="宋体"/>
                <w:color w:val="000000"/>
                <w:kern w:val="0"/>
                <w:sz w:val="28"/>
                <w:szCs w:val="28"/>
              </w:rPr>
              <w:t>：</w:t>
            </w:r>
            <w:r>
              <w:rPr>
                <w:rFonts w:ascii="Tahoma" w:hAnsi="Tahoma" w:cs="Tahoma"/>
                <w:color w:val="999999"/>
                <w:sz w:val="18"/>
                <w:szCs w:val="18"/>
                <w:shd w:val="clear" w:color="auto" w:fill="FFFFFF"/>
              </w:rPr>
              <w:t xml:space="preserve"> </w:t>
            </w:r>
            <w:r>
              <w:rPr>
                <w:rFonts w:ascii="仿宋" w:hAnsi="仿宋" w:eastAsia="仿宋" w:cs="宋体"/>
                <w:color w:val="000000"/>
                <w:kern w:val="0"/>
                <w:sz w:val="28"/>
                <w:szCs w:val="28"/>
              </w:rPr>
              <w:t>USB,同轴，网络</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读取光盘格式</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 BD-ROM, BD-R, BD-RE, Bonus View, BD-Live, DVD, DVD-R, DVD-RW, DVD-R Dual Layer, DVD+R, DVD+RW, DVD+R Dual Layer, DVD Camcorder 8cm DVD, CD (CD-DA), CD-R/-RW，BDMV;</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USB支持视频格式</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 Xvid, WMV9, AVCHD Disc Format, MPEG-1 Video/PS, MPEG-2 Video/PS, TS, RMVB, MPEG-4 AVC, MPEG-4/AVC, VC1, Motion JPEG, srt for 2 byte code characters</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USB支持音频格式 AAC, MP3, HEAAC v.1/v.2/level2, WMA9 Standard, LPCM, FLAC, Dolby Digital, WMA10 Pro, Vorbis, Monkey's Audio</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USB支持图片格式</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 xml:space="preserve"> JPEG, GIF, PNG, MPO，BMP</w:t>
            </w:r>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特性：</w:t>
            </w:r>
            <w:r>
              <w:rPr>
                <w:rFonts w:ascii="仿宋" w:hAnsi="仿宋" w:eastAsia="仿宋" w:cs="宋体"/>
                <w:color w:val="000000"/>
                <w:kern w:val="0"/>
                <w:sz w:val="28"/>
                <w:szCs w:val="28"/>
              </w:rPr>
              <w:t xml:space="preserve"> 2K至4K倍线技术，网络视频(3D流媒体)，USB/外置硬盘支持只读</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5.4</w:t>
            </w:r>
          </w:p>
        </w:tc>
        <w:tc>
          <w:tcPr>
            <w:tcW w:w="1506"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线缆及辅材</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定制</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764" w:type="dxa"/>
            <w:gridSpan w:val="4"/>
            <w:shd w:val="clear" w:color="000000" w:fill="FFFFFF"/>
            <w:vAlign w:val="center"/>
          </w:tcPr>
          <w:p>
            <w:pPr>
              <w:widowControl/>
              <w:spacing w:line="46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（六）安全设备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6.1</w:t>
            </w:r>
          </w:p>
        </w:tc>
        <w:tc>
          <w:tcPr>
            <w:tcW w:w="1506"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防火墙</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标准2U机架设备,冗余电源；标配10个千兆电口,4个</w:t>
            </w:r>
            <w:r>
              <w:rPr>
                <w:rFonts w:ascii="仿宋" w:hAnsi="仿宋" w:eastAsia="仿宋" w:cs="宋体"/>
                <w:color w:val="000000"/>
                <w:kern w:val="0"/>
                <w:sz w:val="28"/>
                <w:szCs w:val="28"/>
              </w:rPr>
              <w:t>千兆光口</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整机吞吐量≥10Gb</w:t>
            </w:r>
            <w:r>
              <w:rPr>
                <w:rFonts w:ascii="仿宋" w:hAnsi="仿宋" w:eastAsia="仿宋" w:cs="宋体"/>
                <w:color w:val="000000"/>
                <w:kern w:val="0"/>
                <w:sz w:val="28"/>
                <w:szCs w:val="28"/>
              </w:rPr>
              <w:t>ps</w:t>
            </w:r>
            <w:r>
              <w:rPr>
                <w:rFonts w:hint="eastAsia" w:ascii="仿宋" w:hAnsi="仿宋" w:eastAsia="仿宋" w:cs="宋体"/>
                <w:color w:val="000000"/>
                <w:kern w:val="0"/>
                <w:sz w:val="28"/>
                <w:szCs w:val="28"/>
              </w:rPr>
              <w:t>，应用层吞吐量≥</w:t>
            </w:r>
            <w:r>
              <w:rPr>
                <w:rFonts w:ascii="仿宋" w:hAnsi="仿宋" w:eastAsia="仿宋" w:cs="宋体"/>
                <w:color w:val="000000"/>
                <w:kern w:val="0"/>
                <w:sz w:val="28"/>
                <w:szCs w:val="28"/>
              </w:rPr>
              <w:t>2Gbps</w:t>
            </w:r>
            <w:r>
              <w:rPr>
                <w:rFonts w:hint="eastAsia" w:ascii="仿宋" w:hAnsi="仿宋" w:eastAsia="仿宋" w:cs="宋体"/>
                <w:color w:val="000000"/>
                <w:kern w:val="0"/>
                <w:sz w:val="28"/>
                <w:szCs w:val="28"/>
              </w:rPr>
              <w:t>，并发连接数≥2,200,000，每秒新建连接数≥13万</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支持路由，网桥，单臂，旁路，虚拟网线以及混合部署方式；</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支持静态路由，ECMP等价路由；</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支持RIPv1/v2，OSPFv2/v3，BGP等动态路由协议；</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支持连接会话展示，可针对具体的IP地址进行会话详情查询，支持封锁异常会话信息，并支持设置监听具体IP的会话记录；</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支持URL过滤和文件过滤功能，URL过滤支持GET，POST请求过滤和HTTPS网站过滤，文件过滤支持文件上传和下载过滤；</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支持针对网站的漏洞扫描进行防护，能够拦截漏洞扫描设备或软件对网站漏洞的扫描探测；</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支持Web漏洞扫描功能，可扫描检测网站是否存在SQL注入、XSS、跨站脚本、目录遍历、文件包含、命令执行等脚本漏洞；（需提供相关功能截图证明）</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支持对网站黑链进行检测；</w:t>
            </w:r>
            <w:r>
              <w:rPr>
                <w:rFonts w:ascii="Calibri" w:hAnsi="Calibri" w:eastAsia="仿宋" w:cs="Calibri"/>
                <w:color w:val="000000"/>
                <w:kern w:val="0"/>
                <w:sz w:val="28"/>
                <w:szCs w:val="28"/>
              </w:rPr>
              <w:t> </w:t>
            </w:r>
            <w:r>
              <w:rPr>
                <w:rFonts w:hint="eastAsia" w:ascii="仿宋" w:hAnsi="仿宋" w:eastAsia="仿宋" w:cs="宋体"/>
                <w:color w:val="000000"/>
                <w:kern w:val="0"/>
                <w:sz w:val="28"/>
                <w:szCs w:val="28"/>
              </w:rPr>
              <w:t>（需提供相关功能截图证明）</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支持叠加云端安全服务实现对设备的托管，由云端安全专家对设备进行日志分析和策略配置调整，并按月输出运营月报</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支持对终端已被种植了远控木马或者病毒等恶意软件进行检测，并且能够对检测到的恶意软件行为进行深入的分析，展示和外部命令控制服务器的交互行为和其他可疑行为；（需提供相关功能截图证明）</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对于未知威胁具备同云端安全分析引擎进行联动的能力，上报可疑行为并在云端进行沙盒检测，并下发威胁行为分析报告；（需提供具备</w:t>
            </w:r>
            <w:r>
              <w:rPr>
                <w:rFonts w:ascii="仿宋" w:hAnsi="仿宋" w:eastAsia="仿宋" w:cs="宋体"/>
                <w:color w:val="000000"/>
                <w:kern w:val="0"/>
                <w:sz w:val="28"/>
                <w:szCs w:val="28"/>
              </w:rPr>
              <w:t>相关</w:t>
            </w:r>
            <w:r>
              <w:rPr>
                <w:rFonts w:hint="eastAsia" w:ascii="仿宋" w:hAnsi="仿宋" w:eastAsia="仿宋" w:cs="宋体"/>
                <w:color w:val="000000"/>
                <w:kern w:val="0"/>
                <w:sz w:val="28"/>
                <w:szCs w:val="28"/>
              </w:rPr>
              <w:t>云端查杀</w:t>
            </w:r>
            <w:r>
              <w:rPr>
                <w:rFonts w:ascii="仿宋" w:hAnsi="仿宋" w:eastAsia="仿宋" w:cs="宋体"/>
                <w:color w:val="000000"/>
                <w:kern w:val="0"/>
                <w:sz w:val="28"/>
                <w:szCs w:val="28"/>
              </w:rPr>
              <w:t>能力的</w:t>
            </w:r>
            <w:r>
              <w:rPr>
                <w:rFonts w:hint="eastAsia" w:ascii="仿宋" w:hAnsi="仿宋" w:eastAsia="仿宋" w:cs="宋体"/>
                <w:color w:val="000000"/>
                <w:kern w:val="0"/>
                <w:sz w:val="28"/>
                <w:szCs w:val="28"/>
              </w:rPr>
              <w:t>证明）</w:t>
            </w:r>
            <w:r>
              <w:rPr>
                <w:rFonts w:ascii="Calibri" w:hAnsi="Calibri" w:eastAsia="仿宋" w:cs="Calibri"/>
                <w:color w:val="000000"/>
                <w:kern w:val="0"/>
                <w:sz w:val="28"/>
                <w:szCs w:val="28"/>
              </w:rPr>
              <w:t> </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提供安全报表，报表内容体现被保护对象的整体安全等级，发现漏洞情况以及遭受到攻击的漏洞统计，可以查看到有效攻击行为次数和攻击趋势；（提供安全报表并加盖厂商公章）</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要求所投防火墙产品符合公安部第二代防火墙标准（GA／T 1177-2014）的要求，并提供公安部颁发的第二代防火墙销售许可证；</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产品应具备</w:t>
            </w:r>
            <w:r>
              <w:rPr>
                <w:rFonts w:ascii="仿宋" w:hAnsi="仿宋" w:eastAsia="仿宋" w:cs="宋体"/>
                <w:color w:val="000000"/>
                <w:kern w:val="0"/>
                <w:sz w:val="28"/>
                <w:szCs w:val="28"/>
              </w:rPr>
              <w:t>ISCCC</w:t>
            </w:r>
            <w:r>
              <w:rPr>
                <w:rFonts w:hint="eastAsia" w:ascii="仿宋" w:hAnsi="仿宋" w:eastAsia="仿宋" w:cs="宋体"/>
                <w:color w:val="000000"/>
                <w:kern w:val="0"/>
                <w:sz w:val="28"/>
                <w:szCs w:val="28"/>
              </w:rPr>
              <w:t>中国国家信息安全产品认证证书；</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6.</w:t>
            </w:r>
            <w:r>
              <w:rPr>
                <w:rFonts w:ascii="仿宋" w:hAnsi="仿宋" w:eastAsia="仿宋" w:cs="宋体"/>
                <w:b/>
                <w:bCs/>
                <w:color w:val="000000"/>
                <w:kern w:val="0"/>
                <w:sz w:val="28"/>
                <w:szCs w:val="28"/>
              </w:rPr>
              <w:t>2</w:t>
            </w:r>
          </w:p>
        </w:tc>
        <w:tc>
          <w:tcPr>
            <w:tcW w:w="1506"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主机身份认证系统</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bookmarkStart w:id="0" w:name="OLE_LINK16"/>
            <w:bookmarkStart w:id="1" w:name="OLE_LINK17"/>
            <w:r>
              <w:rPr>
                <w:rFonts w:hint="eastAsia" w:ascii="仿宋" w:hAnsi="仿宋" w:eastAsia="仿宋" w:cs="宋体"/>
                <w:color w:val="000000"/>
                <w:kern w:val="0"/>
                <w:sz w:val="28"/>
                <w:szCs w:val="28"/>
              </w:rPr>
              <w:t>★产品必须支持Local DB 、短信认证、硬件特征码、动态令牌、数字证书认证、LDAP、RADIUS、等认证方式；可针对用户/用户组设置认证方式的与、或组合，可进行用户名/密码、LDAP、USB KEY、硬件特征码、短信认证或动态令牌的五因素捆绑认证（提供界面配置截图</w:t>
            </w:r>
            <w:r>
              <w:rPr>
                <w:rFonts w:ascii="仿宋" w:hAnsi="仿宋" w:eastAsia="仿宋" w:cs="宋体"/>
                <w:color w:val="000000"/>
                <w:kern w:val="0"/>
                <w:sz w:val="28"/>
                <w:szCs w:val="28"/>
              </w:rPr>
              <w:t>）</w:t>
            </w:r>
            <w:bookmarkEnd w:id="0"/>
            <w:bookmarkEnd w:id="1"/>
            <w:r>
              <w:rPr>
                <w:rFonts w:hint="eastAsia" w:ascii="仿宋" w:hAnsi="仿宋" w:eastAsia="仿宋" w:cs="宋体"/>
                <w:color w:val="000000"/>
                <w:kern w:val="0"/>
                <w:sz w:val="28"/>
                <w:szCs w:val="28"/>
              </w:rPr>
              <w:t>；</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支持随机验证码短信认证，可自定义所发送短信信息格式，支持用户端短信重发功能；</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支持三大运营商移动、联通、电信运营商的标准的外置短信设备或API接口；</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支持GSM、CDMA制式短信猫；支持webservice方式短信认证，支持webservice嘉迅版；</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设备内部必须支持自建CA中心，便于数字证书认证平台搭建；</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支持与基于PKI体系的第三方CA进行结合认证 ，可根据CA某字段将通过CA认证的用户自动映射到指定用户组，方便进行权限授权配置；支持CRL证书撤销列表。</w:t>
            </w:r>
          </w:p>
          <w:p>
            <w:pPr>
              <w:widowControl/>
              <w:spacing w:line="460" w:lineRule="exact"/>
              <w:jc w:val="left"/>
              <w:rPr>
                <w:rFonts w:hint="eastAsia" w:ascii="仿宋" w:hAnsi="仿宋" w:eastAsia="仿宋" w:cs="宋体"/>
                <w:color w:val="000000"/>
                <w:kern w:val="0"/>
                <w:sz w:val="28"/>
                <w:szCs w:val="28"/>
              </w:rPr>
            </w:pPr>
            <w:bookmarkStart w:id="2" w:name="OLE_LINK18"/>
            <w:bookmarkStart w:id="3" w:name="OLE_LINK19"/>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单台EMM管控设备可扩展同时支持5套以上CA根证书；（提供证明截图）</w:t>
            </w:r>
            <w:bookmarkEnd w:id="2"/>
            <w:bookmarkEnd w:id="3"/>
          </w:p>
          <w:p>
            <w:pPr>
              <w:widowControl/>
              <w:spacing w:line="460" w:lineRule="exact"/>
              <w:jc w:val="left"/>
              <w:rPr>
                <w:rFonts w:ascii="宋体" w:hAnsi="宋体" w:cs="宋体"/>
                <w:kern w:val="0"/>
                <w:sz w:val="18"/>
                <w:szCs w:val="18"/>
              </w:rPr>
            </w:pPr>
            <w:r>
              <w:rPr>
                <w:rFonts w:hint="eastAsia" w:ascii="仿宋" w:hAnsi="仿宋" w:eastAsia="仿宋" w:cs="Arial Unicode MS"/>
                <w:kern w:val="0"/>
                <w:sz w:val="28"/>
                <w:szCs w:val="28"/>
              </w:rPr>
              <w:t>（★代表最关键指标，</w:t>
            </w:r>
            <w:r>
              <w:rPr>
                <w:rFonts w:hint="eastAsia" w:ascii="仿宋" w:hAnsi="仿宋" w:eastAsia="仿宋" w:cs="Arial Unicode MS"/>
                <w:b/>
                <w:kern w:val="0"/>
                <w:sz w:val="28"/>
                <w:szCs w:val="28"/>
              </w:rPr>
              <w:t xml:space="preserve"> #</w:t>
            </w:r>
            <w:r>
              <w:rPr>
                <w:rFonts w:ascii="仿宋" w:hAnsi="仿宋" w:eastAsia="仿宋" w:cs="Arial Unicode MS"/>
                <w:kern w:val="0"/>
                <w:sz w:val="28"/>
                <w:szCs w:val="28"/>
              </w:rPr>
              <w:t xml:space="preserve"> </w:t>
            </w:r>
            <w:r>
              <w:rPr>
                <w:rFonts w:hint="eastAsia" w:ascii="仿宋" w:hAnsi="仿宋" w:eastAsia="仿宋" w:cs="Arial Unicode MS"/>
                <w:kern w:val="0"/>
                <w:sz w:val="28"/>
                <w:szCs w:val="28"/>
              </w:rPr>
              <w:t>代表重要指标。）</w:t>
            </w:r>
          </w:p>
        </w:tc>
        <w:tc>
          <w:tcPr>
            <w:tcW w:w="859" w:type="dxa"/>
            <w:shd w:val="clear" w:color="000000" w:fill="FFFFFF"/>
            <w:vAlign w:val="center"/>
          </w:tcPr>
          <w:p>
            <w:pPr>
              <w:widowControl/>
              <w:spacing w:line="4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764" w:type="dxa"/>
            <w:gridSpan w:val="4"/>
            <w:shd w:val="clear" w:color="000000" w:fill="FFFFFF"/>
            <w:vAlign w:val="center"/>
          </w:tcPr>
          <w:p>
            <w:pPr>
              <w:widowControl/>
              <w:spacing w:line="46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（七）移动执法终端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7.1</w:t>
            </w:r>
          </w:p>
        </w:tc>
        <w:tc>
          <w:tcPr>
            <w:tcW w:w="1506"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移动手持终端</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w:t>
            </w:r>
            <w:r>
              <w:rPr>
                <w:rFonts w:ascii="仿宋" w:hAnsi="仿宋" w:eastAsia="仿宋" w:cs="宋体"/>
                <w:color w:val="000000"/>
                <w:kern w:val="0"/>
                <w:sz w:val="28"/>
                <w:szCs w:val="28"/>
              </w:rPr>
              <w:t>3G/4G(</w:t>
            </w:r>
            <w:r>
              <w:rPr>
                <w:rFonts w:hint="eastAsia" w:ascii="仿宋" w:hAnsi="仿宋" w:eastAsia="仿宋" w:cs="宋体"/>
                <w:color w:val="000000"/>
                <w:kern w:val="0"/>
                <w:sz w:val="28"/>
                <w:szCs w:val="28"/>
              </w:rPr>
              <w:t>全网通</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的无线智能手持终端；</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支持集群对讲、语音调度、视频调度、</w:t>
            </w:r>
            <w:r>
              <w:rPr>
                <w:rFonts w:ascii="仿宋" w:hAnsi="仿宋" w:eastAsia="仿宋" w:cs="宋体"/>
                <w:color w:val="000000"/>
                <w:kern w:val="0"/>
                <w:sz w:val="28"/>
                <w:szCs w:val="28"/>
              </w:rPr>
              <w:t>GPS</w:t>
            </w:r>
            <w:r>
              <w:rPr>
                <w:rFonts w:hint="eastAsia" w:ascii="仿宋" w:hAnsi="仿宋" w:eastAsia="仿宋" w:cs="宋体"/>
                <w:color w:val="000000"/>
                <w:kern w:val="0"/>
                <w:sz w:val="28"/>
                <w:szCs w:val="28"/>
              </w:rPr>
              <w:t>定位、数据采集。</w:t>
            </w:r>
          </w:p>
        </w:tc>
        <w:tc>
          <w:tcPr>
            <w:tcW w:w="859" w:type="dxa"/>
            <w:shd w:val="clear" w:color="000000" w:fill="FFFFFF"/>
            <w:vAlign w:val="center"/>
          </w:tcPr>
          <w:p>
            <w:pPr>
              <w:widowControl/>
              <w:spacing w:line="460" w:lineRule="exact"/>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69" w:type="dxa"/>
            <w:shd w:val="clear" w:color="000000" w:fill="FFFFFF"/>
            <w:vAlign w:val="center"/>
          </w:tcPr>
          <w:p>
            <w:pPr>
              <w:widowControl/>
              <w:spacing w:line="46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7.2</w:t>
            </w:r>
          </w:p>
        </w:tc>
        <w:tc>
          <w:tcPr>
            <w:tcW w:w="1506"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移动手持集群调度终端</w:t>
            </w:r>
          </w:p>
        </w:tc>
        <w:tc>
          <w:tcPr>
            <w:tcW w:w="5530" w:type="dxa"/>
            <w:shd w:val="clear" w:color="000000" w:fill="FFFFFF"/>
            <w:vAlign w:val="center"/>
          </w:tcPr>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w:t>
            </w:r>
            <w:r>
              <w:rPr>
                <w:rFonts w:ascii="仿宋" w:hAnsi="仿宋" w:eastAsia="仿宋" w:cs="宋体"/>
                <w:color w:val="000000"/>
                <w:kern w:val="0"/>
                <w:sz w:val="28"/>
                <w:szCs w:val="28"/>
              </w:rPr>
              <w:t>3G/4G</w:t>
            </w:r>
            <w:r>
              <w:rPr>
                <w:rFonts w:hint="eastAsia" w:ascii="仿宋" w:hAnsi="仿宋" w:eastAsia="仿宋" w:cs="宋体"/>
                <w:color w:val="000000"/>
                <w:kern w:val="0"/>
                <w:sz w:val="28"/>
                <w:szCs w:val="28"/>
              </w:rPr>
              <w:t>无线网络制式；</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集图像回传、视频回传、集群对讲、数据作业、</w:t>
            </w:r>
            <w:r>
              <w:rPr>
                <w:rFonts w:ascii="仿宋" w:hAnsi="仿宋" w:eastAsia="仿宋" w:cs="宋体"/>
                <w:color w:val="000000"/>
                <w:kern w:val="0"/>
                <w:sz w:val="28"/>
                <w:szCs w:val="28"/>
              </w:rPr>
              <w:t>GPS</w:t>
            </w:r>
            <w:r>
              <w:rPr>
                <w:rFonts w:hint="eastAsia" w:ascii="仿宋" w:hAnsi="仿宋" w:eastAsia="仿宋" w:cs="宋体"/>
                <w:color w:val="000000"/>
                <w:kern w:val="0"/>
                <w:sz w:val="28"/>
                <w:szCs w:val="28"/>
              </w:rPr>
              <w:t>定位于一体；</w:t>
            </w:r>
          </w:p>
          <w:p>
            <w:pPr>
              <w:widowControl/>
              <w:spacing w:line="4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支持硬件视频编解码技术、多点触控技术。</w:t>
            </w:r>
          </w:p>
        </w:tc>
        <w:tc>
          <w:tcPr>
            <w:tcW w:w="859" w:type="dxa"/>
            <w:shd w:val="clear" w:color="000000" w:fill="FFFFFF"/>
            <w:vAlign w:val="center"/>
          </w:tcPr>
          <w:p>
            <w:pPr>
              <w:widowControl/>
              <w:spacing w:line="460" w:lineRule="exact"/>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r>
    </w:tbl>
    <w:p>
      <w:pPr>
        <w:widowControl/>
        <w:wordWrap w:val="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七、项目实施总体要求</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1、本项目投标人需对各个开发阶段进行科学合理的划分，并阐述各个开发阶段方案。</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2、本项目投标人对本系统开发要严格按照软件工程的方法进行组织，根据用户需求持续改进。</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3、本项目投标人应自行准备所需开发工具，并自行搭建开发测试环境，不得以用户订购的系统软硬件设备到货时间为由，影响开发进度。</w:t>
      </w:r>
    </w:p>
    <w:p>
      <w:pPr>
        <w:widowControl/>
        <w:wordWrap w:val="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八、项目管理总体要求</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（一）实施计划要求</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投标人需要在标书中提出项目实施计划的草案，内容包括：</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1、投标人必须给出切实可行的项目实施时间进度表。</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2、明确所有可交付的开发成果、服务及交付时间和方式。</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（二）项目管理实施保障措施要求</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针对本项目，本项目投标人需提出项目管理的实施方案和措施。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1、范围管理措施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本项目投标人通过需求调研，明确项目的范围，确认工作边界。</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2、质量保证控制措施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本项目投标人应提出对本项目的质量保证控制措施。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3、配置管理措施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本项目投标人应提供配置管理角色的分析和定义，对配置项变更流程、配置库目录以及基线的管理提供明确的管理措施。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4、风险管理措施</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本项目投标人应建立风险管理机制，提供风险管理与控制策略。</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（三）系统安装部署要求</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安装部署在建设方指定网络区域。</w:t>
      </w:r>
    </w:p>
    <w:p>
      <w:pPr>
        <w:widowControl/>
        <w:wordWrap w:val="0"/>
        <w:jc w:val="left"/>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九、技术支持与售后服务要求</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（一）硬件设备</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硬件设备产品提供三年硬件质保，一年7×24小时免费售后保修服务，电话报修后6小时上门服务、12小时内排除故障，需原厂商提供售后服务承诺函。</w:t>
      </w:r>
    </w:p>
    <w:p>
      <w:pPr>
        <w:widowControl/>
        <w:wordWrap w:val="0"/>
        <w:ind w:firstLine="630"/>
        <w:jc w:val="left"/>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（二）应用软件</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1、本项目投标人需针对本项目制定完善的技术支持与售后服务方案，依此来指导售后服务的组织和实施工作。</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本项目投标人需提供1年的质量保证期，质量保证期从系统最终验收合格之日起计算；在质保期内，需提供免费版本升级和免费现场技术支持服务；在质保期内，需提供7×24小时实时技术支持，24小时热线电话和故障排除、现场响应以及Email和传真支持服务。对于接到的用户技术咨询，保证30分钟内响应，2小时内提出解决方案；对于接到的用户故障请求，保证自收到用户的服务请求起1时内到达现场，4小时内完成故障处理。如遇到重大技术问题，要求及时组织有关技术专家进行会诊，并保证在24小时内采取相应措施以确保恢复系统的正常运行。</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3、本项目投标人需提供可行的技术培训方案，保证最终用户能够熟练操作和日常维护、保养及简单故障的排除。</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4、软件升级更新服务</w:t>
      </w:r>
    </w:p>
    <w:p>
      <w:pPr>
        <w:widowControl/>
        <w:wordWrap w:val="0"/>
        <w:ind w:firstLine="63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在遇到公司相关产品版本更新，应用软件功能变更或相关软硬件系统软件升级时，需提供应用软件升级更新服务，并保证系统在升级之后新功能可以正常、有效的发挥作用，同时保证原有功能不受升级的影响。</w:t>
      </w:r>
    </w:p>
    <w:p>
      <w:pPr>
        <w:widowControl/>
        <w:wordWrap w:val="0"/>
        <w:ind w:firstLine="630"/>
        <w:jc w:val="left"/>
        <w:rPr>
          <w:rFonts w:ascii="仿宋_GB2312" w:hAnsi="Arial" w:eastAsia="仿宋_GB2312" w:cs="Arial"/>
          <w:color w:val="000000"/>
          <w:kern w:val="0"/>
          <w:sz w:val="31"/>
          <w:szCs w:val="31"/>
        </w:rPr>
      </w:pPr>
      <w:r>
        <w:rPr>
          <w:rFonts w:ascii="仿宋_GB2312" w:hAnsi="Arial" w:eastAsia="仿宋_GB2312" w:cs="Arial"/>
          <w:color w:val="000000"/>
          <w:kern w:val="0"/>
          <w:sz w:val="31"/>
          <w:szCs w:val="31"/>
        </w:rPr>
        <w:t>十、交货时间、开发周期、交货地点</w:t>
      </w:r>
    </w:p>
    <w:p>
      <w:pPr>
        <w:widowControl/>
        <w:wordWrap w:val="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 xml:space="preserve">    1、硬件设备及系统软件交货时间：自签订合同之日起20个自然日内将所有物品送达甲方指定地点。</w:t>
      </w:r>
    </w:p>
    <w:p>
      <w:pPr>
        <w:widowControl/>
        <w:wordWrap w:val="0"/>
        <w:ind w:firstLine="620" w:firstLineChars="200"/>
        <w:jc w:val="left"/>
        <w:rPr>
          <w:rFonts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2、应用软件开发周期：自签订合同之日起8周内完成。</w:t>
      </w:r>
    </w:p>
    <w:p>
      <w:pPr>
        <w:widowControl/>
        <w:wordWrap w:val="0"/>
        <w:ind w:firstLine="620" w:firstLineChars="200"/>
        <w:jc w:val="left"/>
        <w:rPr>
          <w:rFonts w:hint="eastAsia"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3、交货地点：招标人指定地点</w:t>
      </w:r>
    </w:p>
    <w:p>
      <w:pPr>
        <w:widowControl/>
        <w:wordWrap w:val="0"/>
        <w:ind w:firstLine="620" w:firstLineChars="200"/>
        <w:jc w:val="left"/>
        <w:rPr>
          <w:rFonts w:hint="eastAsia" w:ascii="仿宋_GB2312" w:hAnsi="Arial" w:eastAsia="仿宋_GB2312" w:cs="Arial"/>
          <w:color w:val="000000"/>
          <w:kern w:val="0"/>
          <w:sz w:val="31"/>
          <w:szCs w:val="31"/>
        </w:rPr>
      </w:pPr>
    </w:p>
    <w:p>
      <w:pPr>
        <w:rPr>
          <w:rFonts w:hint="eastAsia" w:ascii="仿宋_GB2312" w:hAnsi="Arial" w:eastAsia="仿宋_GB2312" w:cs="Arial"/>
          <w:color w:val="000000"/>
          <w:kern w:val="0"/>
          <w:sz w:val="31"/>
          <w:szCs w:val="31"/>
        </w:rPr>
      </w:pPr>
      <w:r>
        <w:rPr>
          <w:rFonts w:hint="eastAsia" w:ascii="仿宋_GB2312" w:hAnsi="Arial" w:eastAsia="仿宋_GB2312" w:cs="Arial"/>
          <w:color w:val="000000"/>
          <w:kern w:val="0"/>
          <w:sz w:val="31"/>
          <w:szCs w:val="31"/>
        </w:rPr>
        <w:t>B包：</w:t>
      </w:r>
    </w:p>
    <w:p>
      <w:pPr>
        <w:ind w:firstLine="640" w:firstLineChars="200"/>
        <w:rPr>
          <w:rFonts w:hint="eastAsia" w:ascii="仿宋" w:hAnsi="仿宋" w:eastAsia="仿宋" w:cs="Tahoma"/>
          <w:sz w:val="32"/>
          <w:szCs w:val="32"/>
        </w:rPr>
      </w:pPr>
      <w:r>
        <w:rPr>
          <w:rFonts w:hint="eastAsia" w:ascii="仿宋" w:hAnsi="仿宋" w:eastAsia="仿宋" w:cs="Tahoma"/>
          <w:sz w:val="32"/>
          <w:szCs w:val="32"/>
        </w:rPr>
        <w:t>监理需求：</w:t>
      </w:r>
    </w:p>
    <w:p>
      <w:pPr>
        <w:ind w:firstLine="640" w:firstLineChars="200"/>
        <w:rPr>
          <w:rFonts w:hint="eastAsia" w:ascii="仿宋" w:hAnsi="仿宋" w:eastAsia="仿宋" w:cs="Tahoma"/>
          <w:sz w:val="32"/>
          <w:szCs w:val="32"/>
        </w:rPr>
      </w:pPr>
      <w:r>
        <w:rPr>
          <w:rFonts w:hint="eastAsia" w:ascii="仿宋" w:hAnsi="仿宋" w:eastAsia="仿宋" w:cs="Tahoma"/>
          <w:sz w:val="32"/>
          <w:szCs w:val="32"/>
        </w:rPr>
        <w:t>根据我市食品药品监管工作的业务需求，通过对食品药品监管信息化平台项目的监理，实现以下需求：</w:t>
      </w:r>
    </w:p>
    <w:p>
      <w:pPr>
        <w:ind w:firstLine="640" w:firstLineChars="200"/>
        <w:rPr>
          <w:rFonts w:hint="eastAsia" w:ascii="仿宋" w:hAnsi="仿宋" w:eastAsia="仿宋" w:cs="Tahoma"/>
          <w:sz w:val="32"/>
          <w:szCs w:val="32"/>
        </w:rPr>
      </w:pPr>
      <w:r>
        <w:rPr>
          <w:rFonts w:hint="eastAsia" w:ascii="仿宋" w:hAnsi="仿宋" w:eastAsia="仿宋" w:cs="Tahoma"/>
          <w:sz w:val="32"/>
          <w:szCs w:val="32"/>
        </w:rPr>
        <w:t>1、保证项目</w:t>
      </w:r>
      <w:r>
        <w:rPr>
          <w:rFonts w:ascii="仿宋" w:hAnsi="仿宋" w:eastAsia="仿宋" w:cs="Tahoma"/>
          <w:sz w:val="32"/>
          <w:szCs w:val="32"/>
        </w:rPr>
        <w:t>质量</w:t>
      </w:r>
      <w:r>
        <w:rPr>
          <w:rFonts w:hint="eastAsia" w:ascii="仿宋" w:hAnsi="仿宋" w:eastAsia="仿宋" w:cs="Tahoma"/>
          <w:sz w:val="32"/>
          <w:szCs w:val="32"/>
        </w:rPr>
        <w:t>、</w:t>
      </w:r>
      <w:r>
        <w:rPr>
          <w:rFonts w:ascii="仿宋" w:hAnsi="仿宋" w:eastAsia="仿宋" w:cs="Tahoma"/>
          <w:sz w:val="32"/>
          <w:szCs w:val="32"/>
        </w:rPr>
        <w:t>流程规范、避免</w:t>
      </w:r>
      <w:r>
        <w:rPr>
          <w:rFonts w:hint="eastAsia" w:ascii="仿宋" w:hAnsi="仿宋" w:eastAsia="仿宋" w:cs="Tahoma"/>
          <w:sz w:val="32"/>
          <w:szCs w:val="32"/>
        </w:rPr>
        <w:t>各种偷工减料</w:t>
      </w:r>
      <w:r>
        <w:rPr>
          <w:rFonts w:ascii="仿宋" w:hAnsi="仿宋" w:eastAsia="仿宋" w:cs="Tahoma"/>
          <w:sz w:val="32"/>
          <w:szCs w:val="32"/>
        </w:rPr>
        <w:t>、</w:t>
      </w:r>
      <w:r>
        <w:rPr>
          <w:rFonts w:hint="eastAsia" w:ascii="仿宋" w:hAnsi="仿宋" w:eastAsia="仿宋" w:cs="Tahoma"/>
          <w:sz w:val="32"/>
          <w:szCs w:val="32"/>
        </w:rPr>
        <w:t>以次充好</w:t>
      </w:r>
      <w:r>
        <w:rPr>
          <w:rFonts w:ascii="仿宋" w:hAnsi="仿宋" w:eastAsia="仿宋" w:cs="Tahoma"/>
          <w:sz w:val="32"/>
          <w:szCs w:val="32"/>
        </w:rPr>
        <w:t>等</w:t>
      </w:r>
      <w:r>
        <w:rPr>
          <w:rFonts w:hint="eastAsia" w:ascii="仿宋" w:hAnsi="仿宋" w:eastAsia="仿宋" w:cs="Tahoma"/>
          <w:sz w:val="32"/>
          <w:szCs w:val="32"/>
        </w:rPr>
        <w:t>违规</w:t>
      </w:r>
      <w:r>
        <w:rPr>
          <w:rFonts w:ascii="仿宋" w:hAnsi="仿宋" w:eastAsia="仿宋" w:cs="Tahoma"/>
          <w:sz w:val="32"/>
          <w:szCs w:val="32"/>
        </w:rPr>
        <w:t>行为</w:t>
      </w:r>
      <w:r>
        <w:rPr>
          <w:rFonts w:hint="eastAsia" w:ascii="仿宋" w:hAnsi="仿宋" w:eastAsia="仿宋" w:cs="Tahoma"/>
          <w:sz w:val="32"/>
          <w:szCs w:val="32"/>
        </w:rPr>
        <w:t>；</w:t>
      </w:r>
    </w:p>
    <w:p>
      <w:pPr>
        <w:ind w:firstLine="640" w:firstLineChars="200"/>
        <w:rPr>
          <w:rFonts w:hint="eastAsia" w:ascii="仿宋" w:hAnsi="仿宋" w:eastAsia="仿宋" w:cs="Tahoma"/>
          <w:sz w:val="32"/>
          <w:szCs w:val="32"/>
        </w:rPr>
      </w:pPr>
      <w:r>
        <w:rPr>
          <w:rFonts w:ascii="仿宋" w:hAnsi="仿宋" w:eastAsia="仿宋" w:cs="Tahoma"/>
          <w:sz w:val="32"/>
          <w:szCs w:val="32"/>
        </w:rPr>
        <w:t>2</w:t>
      </w:r>
      <w:r>
        <w:rPr>
          <w:rFonts w:hint="eastAsia" w:ascii="仿宋" w:hAnsi="仿宋" w:eastAsia="仿宋" w:cs="Tahoma"/>
          <w:sz w:val="32"/>
          <w:szCs w:val="32"/>
        </w:rPr>
        <w:t>、</w:t>
      </w:r>
      <w:r>
        <w:rPr>
          <w:rFonts w:ascii="仿宋" w:hAnsi="仿宋" w:eastAsia="仿宋" w:cs="Tahoma"/>
          <w:sz w:val="32"/>
          <w:szCs w:val="32"/>
        </w:rPr>
        <w:t>建设过程文档资料齐全、有序、规范，保证</w:t>
      </w:r>
      <w:r>
        <w:rPr>
          <w:rFonts w:hint="eastAsia" w:ascii="仿宋" w:hAnsi="仿宋" w:eastAsia="仿宋" w:cs="Tahoma"/>
          <w:sz w:val="32"/>
          <w:szCs w:val="32"/>
        </w:rPr>
        <w:t>项目</w:t>
      </w:r>
      <w:r>
        <w:rPr>
          <w:rFonts w:ascii="仿宋" w:hAnsi="仿宋" w:eastAsia="仿宋" w:cs="Tahoma"/>
          <w:sz w:val="32"/>
          <w:szCs w:val="32"/>
        </w:rPr>
        <w:t>建设后</w:t>
      </w:r>
      <w:r>
        <w:rPr>
          <w:rFonts w:hint="eastAsia" w:ascii="仿宋" w:hAnsi="仿宋" w:eastAsia="仿宋" w:cs="Tahoma"/>
          <w:sz w:val="32"/>
          <w:szCs w:val="32"/>
        </w:rPr>
        <w:t>期</w:t>
      </w:r>
      <w:r>
        <w:rPr>
          <w:rFonts w:ascii="仿宋" w:hAnsi="仿宋" w:eastAsia="仿宋" w:cs="Tahoma"/>
          <w:sz w:val="32"/>
          <w:szCs w:val="32"/>
        </w:rPr>
        <w:t>的验收和审计顺利通过</w:t>
      </w:r>
      <w:r>
        <w:rPr>
          <w:rFonts w:hint="eastAsia" w:ascii="仿宋" w:hAnsi="仿宋" w:eastAsia="仿宋" w:cs="Tahoma"/>
          <w:sz w:val="32"/>
          <w:szCs w:val="32"/>
        </w:rPr>
        <w:t>；</w:t>
      </w:r>
    </w:p>
    <w:p>
      <w:pPr>
        <w:ind w:firstLine="640" w:firstLineChars="200"/>
        <w:rPr>
          <w:rFonts w:hint="eastAsia" w:ascii="仿宋" w:hAnsi="仿宋" w:eastAsia="仿宋" w:cs="Tahoma"/>
          <w:sz w:val="32"/>
          <w:szCs w:val="32"/>
        </w:rPr>
      </w:pPr>
      <w:r>
        <w:rPr>
          <w:rFonts w:ascii="仿宋" w:hAnsi="仿宋" w:eastAsia="仿宋" w:cs="Tahoma"/>
          <w:sz w:val="32"/>
          <w:szCs w:val="32"/>
        </w:rPr>
        <w:t>3</w:t>
      </w:r>
      <w:r>
        <w:rPr>
          <w:rFonts w:hint="eastAsia" w:ascii="仿宋" w:hAnsi="仿宋" w:eastAsia="仿宋" w:cs="Tahoma"/>
          <w:sz w:val="32"/>
          <w:szCs w:val="32"/>
        </w:rPr>
        <w:t>、项目</w:t>
      </w:r>
      <w:r>
        <w:rPr>
          <w:rFonts w:ascii="仿宋" w:hAnsi="仿宋" w:eastAsia="仿宋" w:cs="Tahoma"/>
          <w:sz w:val="32"/>
          <w:szCs w:val="32"/>
        </w:rPr>
        <w:t>建设的各个阶段，针对各种复杂问题为</w:t>
      </w:r>
      <w:r>
        <w:rPr>
          <w:rFonts w:hint="eastAsia" w:ascii="仿宋" w:hAnsi="仿宋" w:eastAsia="仿宋" w:cs="Tahoma"/>
          <w:sz w:val="32"/>
          <w:szCs w:val="32"/>
        </w:rPr>
        <w:t>建设方</w:t>
      </w:r>
      <w:r>
        <w:rPr>
          <w:rFonts w:ascii="仿宋" w:hAnsi="仿宋" w:eastAsia="仿宋" w:cs="Tahoma"/>
          <w:sz w:val="32"/>
          <w:szCs w:val="32"/>
        </w:rPr>
        <w:t>提供咨询和技术</w:t>
      </w:r>
      <w:r>
        <w:rPr>
          <w:rFonts w:hint="eastAsia" w:ascii="仿宋" w:hAnsi="仿宋" w:eastAsia="仿宋" w:cs="Tahoma"/>
          <w:sz w:val="32"/>
          <w:szCs w:val="32"/>
        </w:rPr>
        <w:t>支持</w:t>
      </w:r>
      <w:r>
        <w:rPr>
          <w:rFonts w:ascii="仿宋" w:hAnsi="仿宋" w:eastAsia="仿宋" w:cs="Tahoma"/>
          <w:sz w:val="32"/>
          <w:szCs w:val="32"/>
        </w:rPr>
        <w:t>，例如</w:t>
      </w:r>
      <w:r>
        <w:rPr>
          <w:rFonts w:hint="eastAsia" w:ascii="仿宋" w:hAnsi="仿宋" w:eastAsia="仿宋" w:cs="Tahoma"/>
          <w:sz w:val="32"/>
          <w:szCs w:val="32"/>
        </w:rPr>
        <w:t>项目</w:t>
      </w:r>
      <w:r>
        <w:rPr>
          <w:rFonts w:ascii="仿宋" w:hAnsi="仿宋" w:eastAsia="仿宋" w:cs="Tahoma"/>
          <w:sz w:val="32"/>
          <w:szCs w:val="32"/>
        </w:rPr>
        <w:t>前期的项目建设方案咨询、招投标阶段的</w:t>
      </w:r>
      <w:r>
        <w:rPr>
          <w:rFonts w:hint="eastAsia" w:ascii="仿宋" w:hAnsi="仿宋" w:eastAsia="仿宋" w:cs="Tahoma"/>
          <w:sz w:val="32"/>
          <w:szCs w:val="32"/>
        </w:rPr>
        <w:t>技术参数</w:t>
      </w:r>
      <w:r>
        <w:rPr>
          <w:rFonts w:ascii="仿宋" w:hAnsi="仿宋" w:eastAsia="仿宋" w:cs="Tahoma"/>
          <w:sz w:val="32"/>
          <w:szCs w:val="32"/>
        </w:rPr>
        <w:t>确定</w:t>
      </w:r>
      <w:r>
        <w:rPr>
          <w:rFonts w:hint="eastAsia" w:ascii="仿宋" w:hAnsi="仿宋" w:eastAsia="仿宋" w:cs="Tahoma"/>
          <w:sz w:val="32"/>
          <w:szCs w:val="32"/>
        </w:rPr>
        <w:t>、</w:t>
      </w:r>
      <w:r>
        <w:rPr>
          <w:rFonts w:ascii="仿宋" w:hAnsi="仿宋" w:eastAsia="仿宋" w:cs="Tahoma"/>
          <w:sz w:val="32"/>
          <w:szCs w:val="32"/>
        </w:rPr>
        <w:t>质疑处理等等</w:t>
      </w:r>
      <w:r>
        <w:rPr>
          <w:rFonts w:hint="eastAsia" w:ascii="仿宋" w:hAnsi="仿宋" w:eastAsia="仿宋" w:cs="Tahoma"/>
          <w:sz w:val="32"/>
          <w:szCs w:val="32"/>
        </w:rPr>
        <w:t>；</w:t>
      </w:r>
    </w:p>
    <w:p>
      <w:pPr>
        <w:ind w:firstLine="640" w:firstLineChars="200"/>
        <w:rPr>
          <w:rFonts w:ascii="仿宋" w:hAnsi="仿宋" w:eastAsia="仿宋" w:cs="Tahoma"/>
          <w:sz w:val="32"/>
          <w:szCs w:val="32"/>
        </w:rPr>
      </w:pPr>
      <w:r>
        <w:rPr>
          <w:rFonts w:hint="eastAsia" w:ascii="仿宋" w:hAnsi="仿宋" w:eastAsia="仿宋" w:cs="Tahoma"/>
          <w:sz w:val="32"/>
          <w:szCs w:val="32"/>
        </w:rPr>
        <w:t>5、</w:t>
      </w:r>
      <w:r>
        <w:rPr>
          <w:rFonts w:ascii="仿宋" w:hAnsi="仿宋" w:eastAsia="仿宋" w:cs="Tahoma"/>
          <w:sz w:val="32"/>
          <w:szCs w:val="32"/>
        </w:rPr>
        <w:t>项目建设中更好的</w:t>
      </w:r>
      <w:r>
        <w:rPr>
          <w:rFonts w:hint="eastAsia" w:ascii="仿宋" w:hAnsi="仿宋" w:eastAsia="仿宋" w:cs="Tahoma"/>
          <w:sz w:val="32"/>
          <w:szCs w:val="32"/>
        </w:rPr>
        <w:t>实现食品药品监管信息化平台</w:t>
      </w:r>
      <w:r>
        <w:rPr>
          <w:rFonts w:ascii="仿宋" w:hAnsi="仿宋" w:eastAsia="仿宋" w:cs="Tahoma"/>
          <w:sz w:val="32"/>
          <w:szCs w:val="32"/>
        </w:rPr>
        <w:t>的</w:t>
      </w:r>
      <w:r>
        <w:rPr>
          <w:rFonts w:hint="eastAsia" w:ascii="仿宋" w:hAnsi="仿宋" w:eastAsia="仿宋" w:cs="Tahoma"/>
          <w:sz w:val="32"/>
          <w:szCs w:val="32"/>
        </w:rPr>
        <w:t>建设</w:t>
      </w:r>
      <w:r>
        <w:rPr>
          <w:rFonts w:ascii="仿宋" w:hAnsi="仿宋" w:eastAsia="仿宋" w:cs="Tahoma"/>
          <w:sz w:val="32"/>
          <w:szCs w:val="32"/>
        </w:rPr>
        <w:t>目标</w:t>
      </w:r>
      <w:r>
        <w:rPr>
          <w:rFonts w:hint="eastAsia" w:ascii="仿宋" w:hAnsi="仿宋" w:eastAsia="仿宋" w:cs="Tahoma"/>
          <w:sz w:val="32"/>
          <w:szCs w:val="32"/>
        </w:rPr>
        <w:t>。</w:t>
      </w:r>
    </w:p>
    <w:p>
      <w:pPr>
        <w:widowControl/>
        <w:wordWrap w:val="0"/>
        <w:ind w:firstLine="620" w:firstLineChars="200"/>
        <w:jc w:val="left"/>
        <w:rPr>
          <w:rFonts w:ascii="仿宋_GB2312" w:hAnsi="Arial" w:eastAsia="仿宋_GB2312" w:cs="Arial"/>
          <w:color w:val="000000"/>
          <w:kern w:val="0"/>
          <w:sz w:val="31"/>
          <w:szCs w:val="31"/>
        </w:rPr>
      </w:pPr>
    </w:p>
    <w:p>
      <w:pPr>
        <w:pStyle w:val="2"/>
        <w:rPr>
          <w:rFonts w:ascii="黑体" w:hAnsi="黑体" w:eastAsia="黑体" w:cs="Arial"/>
          <w:color w:val="000000"/>
          <w:kern w:val="0"/>
          <w:sz w:val="31"/>
          <w:szCs w:val="31"/>
        </w:rPr>
      </w:pPr>
      <w:r>
        <w:rPr>
          <w:rFonts w:hint="eastAsia" w:ascii="黑体" w:hAnsi="黑体" w:eastAsia="黑体" w:cs="Arial"/>
          <w:color w:val="000000"/>
          <w:kern w:val="0"/>
          <w:sz w:val="31"/>
          <w:szCs w:val="31"/>
        </w:rPr>
        <w:t>（四）相关要求</w:t>
      </w:r>
    </w:p>
    <w:p>
      <w:pPr>
        <w:widowControl/>
        <w:ind w:firstLine="620" w:firstLineChars="200"/>
        <w:rPr>
          <w:rFonts w:hint="eastAsia"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A包：</w:t>
      </w:r>
    </w:p>
    <w:p>
      <w:pPr>
        <w:widowControl/>
        <w:ind w:firstLine="620" w:firstLineChars="200"/>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1、投标人需提供防火墙、主机身份认证系统、DLP背投拼接显示单元的原厂商针对本项目的授权函以及针对本项目的原厂售后服务承诺书。</w:t>
      </w:r>
    </w:p>
    <w:p>
      <w:pPr>
        <w:widowControl/>
        <w:wordWrap w:val="0"/>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 xml:space="preserve"> </w:t>
      </w:r>
      <w:r>
        <w:rPr>
          <w:rFonts w:ascii="仿宋_GB2312" w:hAnsi="Arial" w:eastAsia="仿宋_GB2312" w:cs="Arial"/>
          <w:color w:val="333333"/>
          <w:kern w:val="0"/>
          <w:sz w:val="31"/>
          <w:szCs w:val="31"/>
        </w:rPr>
        <w:t xml:space="preserve">  </w:t>
      </w:r>
      <w:r>
        <w:rPr>
          <w:rFonts w:hint="eastAsia" w:ascii="仿宋_GB2312" w:hAnsi="Arial" w:eastAsia="仿宋_GB2312" w:cs="Arial"/>
          <w:color w:val="333333"/>
          <w:kern w:val="0"/>
          <w:sz w:val="31"/>
          <w:szCs w:val="31"/>
        </w:rPr>
        <w:t xml:space="preserve"> </w:t>
      </w:r>
      <w:r>
        <w:rPr>
          <w:rFonts w:ascii="仿宋_GB2312" w:hAnsi="Arial" w:eastAsia="仿宋_GB2312" w:cs="Arial"/>
          <w:color w:val="333333"/>
          <w:kern w:val="0"/>
          <w:sz w:val="31"/>
          <w:szCs w:val="31"/>
        </w:rPr>
        <w:t>2、</w:t>
      </w:r>
      <w:r>
        <w:rPr>
          <w:rFonts w:hint="eastAsia" w:ascii="仿宋_GB2312" w:hAnsi="Arial" w:eastAsia="仿宋_GB2312" w:cs="Arial"/>
          <w:color w:val="333333"/>
          <w:kern w:val="0"/>
          <w:sz w:val="31"/>
          <w:szCs w:val="31"/>
        </w:rPr>
        <w:t>大屏幕显示系统质量要求：</w:t>
      </w:r>
    </w:p>
    <w:p>
      <w:pPr>
        <w:widowControl/>
        <w:wordWrap w:val="0"/>
        <w:ind w:firstLine="555"/>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（1）整个大屏幕显示系统的主要部件DLP显示单元、图像拼接处理器和控制软件均要求为同一厂家的产品，以保障售后服务和设备安装调试；</w:t>
      </w:r>
    </w:p>
    <w:p>
      <w:pPr>
        <w:widowControl/>
        <w:wordWrap w:val="0"/>
        <w:ind w:firstLine="555"/>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（2）大屏幕显示系统主体设备：DLP显示单元、图像拼接处理器、投影光机应具有中国3C质量认证证书，RoHS、CE、CB认证证书，提供证书复印件并加盖公章；</w:t>
      </w:r>
    </w:p>
    <w:p>
      <w:pPr>
        <w:widowControl/>
        <w:wordWrap w:val="0"/>
        <w:ind w:firstLine="555"/>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（3）大屏幕显示系统生产厂家必须通过ISO9001-2008国际质量体系认证，提供证书复印件并加盖公章；</w:t>
      </w:r>
    </w:p>
    <w:p>
      <w:pPr>
        <w:widowControl/>
        <w:wordWrap w:val="0"/>
        <w:ind w:firstLine="555"/>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（4）设备施工和售后服务要求原厂提供服务，保障设备稳定运行和售后服务，提供厂家售后服务承诺书原件并加盖公章；</w:t>
      </w:r>
    </w:p>
    <w:p>
      <w:pPr>
        <w:widowControl/>
        <w:wordWrap w:val="0"/>
        <w:ind w:firstLine="555"/>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（5）需提供生产厂家授权文件原件并加盖公章。</w:t>
      </w:r>
    </w:p>
    <w:p>
      <w:pPr>
        <w:pStyle w:val="2"/>
        <w:rPr>
          <w:rFonts w:ascii="Arial" w:hAnsi="Arial" w:eastAsia="宋体" w:cs="Arial"/>
          <w:color w:val="000000"/>
          <w:kern w:val="0"/>
          <w:szCs w:val="21"/>
        </w:rPr>
      </w:pPr>
      <w:r>
        <w:rPr>
          <w:rFonts w:hint="eastAsia" w:ascii="黑体" w:hAnsi="黑体" w:eastAsia="黑体" w:cs="Arial"/>
          <w:color w:val="000000"/>
          <w:kern w:val="0"/>
          <w:sz w:val="31"/>
          <w:szCs w:val="31"/>
        </w:rPr>
        <w:t>（五）付款方式</w:t>
      </w:r>
    </w:p>
    <w:p>
      <w:pPr>
        <w:widowControl/>
        <w:wordWrap w:val="0"/>
        <w:spacing w:line="360" w:lineRule="auto"/>
        <w:ind w:firstLine="556"/>
        <w:jc w:val="left"/>
        <w:rPr>
          <w:rFonts w:hint="eastAsia" w:ascii="仿宋" w:hAnsi="仿宋" w:eastAsia="仿宋" w:cs="Arial"/>
          <w:color w:val="000000"/>
          <w:kern w:val="0"/>
          <w:sz w:val="31"/>
          <w:szCs w:val="31"/>
        </w:rPr>
      </w:pPr>
      <w:r>
        <w:rPr>
          <w:rFonts w:hint="eastAsia" w:ascii="仿宋" w:hAnsi="仿宋" w:eastAsia="仿宋" w:cs="Arial"/>
          <w:color w:val="000000"/>
          <w:kern w:val="0"/>
          <w:sz w:val="31"/>
          <w:szCs w:val="31"/>
        </w:rPr>
        <w:t>A包：</w:t>
      </w:r>
    </w:p>
    <w:p>
      <w:pPr>
        <w:widowControl/>
        <w:wordWrap w:val="0"/>
        <w:spacing w:line="360" w:lineRule="auto"/>
        <w:ind w:firstLine="556"/>
        <w:jc w:val="left"/>
        <w:rPr>
          <w:rFonts w:ascii="仿宋" w:hAnsi="仿宋" w:eastAsia="仿宋" w:cs="Arial"/>
          <w:color w:val="000000"/>
          <w:kern w:val="0"/>
          <w:sz w:val="31"/>
          <w:szCs w:val="31"/>
        </w:rPr>
      </w:pPr>
      <w:r>
        <w:rPr>
          <w:rFonts w:hint="eastAsia" w:ascii="仿宋" w:hAnsi="仿宋" w:eastAsia="仿宋" w:cs="Arial"/>
          <w:color w:val="000000"/>
          <w:kern w:val="0"/>
          <w:sz w:val="31"/>
          <w:szCs w:val="31"/>
        </w:rPr>
        <w:t>软硬件采购合同付款方式：本合同签订后十个工作日内，甲方向乙方支付其应付合同总额的60%作为预付款，即人民币：</w:t>
      </w:r>
      <w:r>
        <w:rPr>
          <w:rFonts w:hint="eastAsia" w:ascii="仿宋" w:hAnsi="仿宋" w:eastAsia="仿宋" w:cs="Arial"/>
          <w:color w:val="000000"/>
          <w:kern w:val="0"/>
          <w:sz w:val="31"/>
          <w:szCs w:val="31"/>
          <w:u w:val="single"/>
        </w:rPr>
        <w:t xml:space="preserve">        </w:t>
      </w:r>
      <w:r>
        <w:rPr>
          <w:rFonts w:hint="eastAsia" w:ascii="仿宋" w:hAnsi="仿宋" w:eastAsia="仿宋" w:cs="Arial"/>
          <w:color w:val="000000"/>
          <w:kern w:val="0"/>
          <w:sz w:val="31"/>
          <w:szCs w:val="31"/>
        </w:rPr>
        <w:t>；项目终验合格后十个工作日内，甲方支付乙方应付合同总额的30%，即人民币：</w:t>
      </w:r>
      <w:r>
        <w:rPr>
          <w:rFonts w:hint="eastAsia" w:ascii="仿宋" w:hAnsi="仿宋" w:eastAsia="仿宋" w:cs="Arial"/>
          <w:color w:val="000000"/>
          <w:kern w:val="0"/>
          <w:sz w:val="31"/>
          <w:szCs w:val="31"/>
          <w:u w:val="single"/>
        </w:rPr>
        <w:t xml:space="preserve">        </w:t>
      </w:r>
      <w:r>
        <w:rPr>
          <w:rFonts w:hint="eastAsia" w:ascii="仿宋" w:hAnsi="仿宋" w:eastAsia="仿宋" w:cs="Arial"/>
          <w:color w:val="000000"/>
          <w:kern w:val="0"/>
          <w:sz w:val="31"/>
          <w:szCs w:val="31"/>
        </w:rPr>
        <w:t>；1年质保期结束后十个工作日内，甲方支付乙方应付合同总额的10%，即人民币：</w:t>
      </w:r>
      <w:r>
        <w:rPr>
          <w:rFonts w:hint="eastAsia" w:ascii="仿宋" w:hAnsi="仿宋" w:eastAsia="仿宋" w:cs="Arial"/>
          <w:color w:val="000000"/>
          <w:kern w:val="0"/>
          <w:sz w:val="31"/>
          <w:szCs w:val="31"/>
          <w:u w:val="single"/>
        </w:rPr>
        <w:t xml:space="preserve">        </w:t>
      </w:r>
      <w:r>
        <w:rPr>
          <w:rFonts w:ascii="Calibri" w:hAnsi="Calibri" w:eastAsia="仿宋" w:cs="Calibri"/>
          <w:color w:val="000000"/>
          <w:kern w:val="0"/>
          <w:sz w:val="31"/>
          <w:szCs w:val="31"/>
        </w:rPr>
        <w:t> </w:t>
      </w:r>
      <w:r>
        <w:rPr>
          <w:rFonts w:hint="eastAsia" w:ascii="仿宋" w:hAnsi="仿宋" w:eastAsia="仿宋" w:cs="Arial"/>
          <w:color w:val="000000"/>
          <w:kern w:val="0"/>
          <w:sz w:val="31"/>
          <w:szCs w:val="31"/>
        </w:rPr>
        <w:t>。</w:t>
      </w:r>
    </w:p>
    <w:p>
      <w:pPr>
        <w:widowControl/>
        <w:wordWrap w:val="0"/>
        <w:spacing w:line="360" w:lineRule="auto"/>
        <w:ind w:firstLine="556"/>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B包：</w:t>
      </w:r>
    </w:p>
    <w:p>
      <w:pPr>
        <w:widowControl/>
        <w:wordWrap w:val="0"/>
        <w:spacing w:line="360" w:lineRule="auto"/>
        <w:ind w:firstLine="556"/>
        <w:jc w:val="left"/>
        <w:rPr>
          <w:rFonts w:ascii="仿宋" w:hAnsi="仿宋" w:eastAsia="仿宋" w:cs="Arial"/>
          <w:color w:val="000000"/>
          <w:kern w:val="0"/>
          <w:sz w:val="31"/>
          <w:szCs w:val="31"/>
        </w:rPr>
      </w:pPr>
      <w:r>
        <w:rPr>
          <w:rFonts w:hint="eastAsia" w:ascii="仿宋" w:hAnsi="仿宋" w:eastAsia="仿宋" w:cs="Arial"/>
          <w:color w:val="000000"/>
          <w:kern w:val="0"/>
          <w:sz w:val="31"/>
          <w:szCs w:val="31"/>
        </w:rPr>
        <w:t>监理合同付款方式：本合同签订后十个工作日内，甲方向乙方支付其应付合同总额的60%作为预付款，即人民币：</w:t>
      </w:r>
      <w:r>
        <w:rPr>
          <w:rFonts w:hint="eastAsia" w:ascii="仿宋" w:hAnsi="仿宋" w:eastAsia="仿宋" w:cs="Arial"/>
          <w:color w:val="000000"/>
          <w:kern w:val="0"/>
          <w:sz w:val="31"/>
          <w:szCs w:val="31"/>
          <w:u w:val="single"/>
        </w:rPr>
        <w:t xml:space="preserve">        </w:t>
      </w:r>
      <w:r>
        <w:rPr>
          <w:rFonts w:hint="eastAsia" w:ascii="仿宋" w:hAnsi="仿宋" w:eastAsia="仿宋" w:cs="Arial"/>
          <w:color w:val="000000"/>
          <w:kern w:val="0"/>
          <w:sz w:val="31"/>
          <w:szCs w:val="31"/>
        </w:rPr>
        <w:t>；项目终验合格后十个工作日内，甲方支付乙方应付合同总额的40%，即人民币：</w:t>
      </w:r>
      <w:r>
        <w:rPr>
          <w:rFonts w:hint="eastAsia" w:ascii="仿宋" w:hAnsi="仿宋" w:eastAsia="仿宋" w:cs="Arial"/>
          <w:color w:val="000000"/>
          <w:kern w:val="0"/>
          <w:sz w:val="31"/>
          <w:szCs w:val="31"/>
          <w:u w:val="single"/>
        </w:rPr>
        <w:t xml:space="preserve">        </w:t>
      </w:r>
      <w:r>
        <w:rPr>
          <w:rFonts w:ascii="Calibri" w:hAnsi="Calibri" w:eastAsia="仿宋" w:cs="Calibri"/>
          <w:color w:val="000000"/>
          <w:kern w:val="0"/>
          <w:sz w:val="31"/>
          <w:szCs w:val="31"/>
        </w:rPr>
        <w:t> </w:t>
      </w:r>
      <w:r>
        <w:rPr>
          <w:rFonts w:hint="eastAsia" w:ascii="仿宋" w:hAnsi="仿宋" w:eastAsia="仿宋" w:cs="Arial"/>
          <w:color w:val="000000"/>
          <w:kern w:val="0"/>
          <w:sz w:val="31"/>
          <w:szCs w:val="31"/>
        </w:rPr>
        <w:t>。</w:t>
      </w:r>
    </w:p>
    <w:p>
      <w:pPr>
        <w:widowControl/>
        <w:wordWrap w:val="0"/>
        <w:spacing w:line="360" w:lineRule="auto"/>
        <w:ind w:firstLine="556"/>
        <w:jc w:val="left"/>
        <w:rPr>
          <w:rFonts w:hint="eastAsia" w:ascii="仿宋" w:hAnsi="仿宋" w:eastAsia="仿宋" w:cs="Arial"/>
          <w:color w:val="000000"/>
          <w:kern w:val="0"/>
          <w:sz w:val="32"/>
          <w:szCs w:val="32"/>
        </w:rPr>
      </w:pPr>
    </w:p>
    <w:p>
      <w:pPr>
        <w:widowControl/>
        <w:wordWrap w:val="0"/>
        <w:spacing w:line="360" w:lineRule="auto"/>
        <w:ind w:firstLine="556"/>
        <w:jc w:val="left"/>
        <w:rPr>
          <w:rFonts w:ascii="黑体" w:hAnsi="黑体" w:eastAsia="黑体" w:cs="Arial"/>
          <w:color w:val="000000"/>
          <w:kern w:val="0"/>
          <w:sz w:val="31"/>
          <w:szCs w:val="31"/>
        </w:rPr>
      </w:pPr>
      <w:r>
        <w:rPr>
          <w:rFonts w:hint="eastAsia" w:ascii="黑体" w:hAnsi="黑体" w:eastAsia="黑体" w:cs="Arial"/>
          <w:color w:val="000000"/>
          <w:kern w:val="0"/>
          <w:sz w:val="31"/>
          <w:szCs w:val="31"/>
        </w:rPr>
        <w:t>（六）采购单位联系方式及地址</w:t>
      </w:r>
    </w:p>
    <w:p>
      <w:pPr>
        <w:widowControl/>
        <w:jc w:val="left"/>
        <w:rPr>
          <w:rFonts w:ascii="宋体" w:hAnsi="宋体" w:eastAsia="宋体" w:cs="宋体"/>
          <w:color w:val="000000"/>
          <w:kern w:val="0"/>
          <w:sz w:val="24"/>
          <w:szCs w:val="24"/>
        </w:rPr>
      </w:pPr>
      <w:r>
        <w:rPr>
          <w:rFonts w:hint="eastAsia" w:ascii="仿宋_GB2312" w:hAnsi="宋体" w:eastAsia="仿宋_GB2312" w:cs="宋体"/>
          <w:color w:val="000000"/>
          <w:kern w:val="0"/>
          <w:sz w:val="31"/>
          <w:szCs w:val="31"/>
        </w:rPr>
        <w:t>  联系人：王女士    联系电话：0374-2363760</w:t>
      </w:r>
    </w:p>
    <w:p>
      <w:pPr>
        <w:widowControl/>
        <w:jc w:val="left"/>
        <w:rPr>
          <w:rFonts w:ascii="Arial" w:hAnsi="Arial" w:eastAsia="宋体" w:cs="Arial"/>
          <w:color w:val="000000"/>
          <w:kern w:val="0"/>
          <w:szCs w:val="21"/>
        </w:rPr>
      </w:pPr>
      <w:r>
        <w:rPr>
          <w:rFonts w:ascii="Arial" w:hAnsi="Arial" w:eastAsia="宋体" w:cs="Arial"/>
          <w:color w:val="000000"/>
          <w:kern w:val="0"/>
          <w:szCs w:val="21"/>
        </w:rPr>
        <w:t> </w:t>
      </w:r>
    </w:p>
    <w:p>
      <w:pPr>
        <w:widowControl/>
        <w:jc w:val="left"/>
        <w:rPr>
          <w:rFonts w:ascii="宋体" w:hAnsi="宋体" w:eastAsia="宋体" w:cs="宋体"/>
          <w:color w:val="000000"/>
          <w:kern w:val="0"/>
          <w:sz w:val="24"/>
          <w:szCs w:val="24"/>
        </w:rPr>
      </w:pPr>
      <w:r>
        <w:rPr>
          <w:rFonts w:hint="eastAsia" w:ascii="仿宋_GB2312" w:hAnsi="宋体" w:eastAsia="仿宋_GB2312" w:cs="宋体"/>
          <w:color w:val="000000"/>
          <w:kern w:val="0"/>
          <w:sz w:val="31"/>
          <w:szCs w:val="31"/>
        </w:rPr>
        <w:t>   递交书面材料地址：许昌市城乡一体化示范区芙蓉大道6号金融大厦1213室</w:t>
      </w:r>
    </w:p>
    <w:p>
      <w:pPr>
        <w:widowControl/>
        <w:jc w:val="left"/>
      </w:pPr>
    </w:p>
    <w:p>
      <w:pPr>
        <w:widowControl/>
        <w:wordWrap w:val="0"/>
        <w:ind w:firstLine="63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3368"/>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190"/>
    <w:multiLevelType w:val="multilevel"/>
    <w:tmpl w:val="07A57190"/>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7F5A"/>
    <w:rsid w:val="0000165E"/>
    <w:rsid w:val="000070E1"/>
    <w:rsid w:val="000260FD"/>
    <w:rsid w:val="00037192"/>
    <w:rsid w:val="000648F7"/>
    <w:rsid w:val="000906C1"/>
    <w:rsid w:val="00096536"/>
    <w:rsid w:val="000B735B"/>
    <w:rsid w:val="000D7740"/>
    <w:rsid w:val="00121C0C"/>
    <w:rsid w:val="0012479C"/>
    <w:rsid w:val="001271E7"/>
    <w:rsid w:val="00185F2D"/>
    <w:rsid w:val="001900A0"/>
    <w:rsid w:val="001C7062"/>
    <w:rsid w:val="00264714"/>
    <w:rsid w:val="0029338E"/>
    <w:rsid w:val="00294C32"/>
    <w:rsid w:val="002B2662"/>
    <w:rsid w:val="002E7F5A"/>
    <w:rsid w:val="002F6D00"/>
    <w:rsid w:val="0039029C"/>
    <w:rsid w:val="00391F65"/>
    <w:rsid w:val="003C3729"/>
    <w:rsid w:val="003E2793"/>
    <w:rsid w:val="00401D73"/>
    <w:rsid w:val="0040358F"/>
    <w:rsid w:val="00480D34"/>
    <w:rsid w:val="00495B5F"/>
    <w:rsid w:val="00495EC3"/>
    <w:rsid w:val="004A3833"/>
    <w:rsid w:val="004E3BFA"/>
    <w:rsid w:val="00513ED0"/>
    <w:rsid w:val="0051469B"/>
    <w:rsid w:val="005165DE"/>
    <w:rsid w:val="005279E6"/>
    <w:rsid w:val="00532452"/>
    <w:rsid w:val="00561F82"/>
    <w:rsid w:val="005644C3"/>
    <w:rsid w:val="005800BB"/>
    <w:rsid w:val="00591609"/>
    <w:rsid w:val="005933B6"/>
    <w:rsid w:val="005957BC"/>
    <w:rsid w:val="005B2456"/>
    <w:rsid w:val="005B5DBD"/>
    <w:rsid w:val="005B72FC"/>
    <w:rsid w:val="006340E4"/>
    <w:rsid w:val="006425FA"/>
    <w:rsid w:val="00657113"/>
    <w:rsid w:val="006D5258"/>
    <w:rsid w:val="006F78CF"/>
    <w:rsid w:val="00713438"/>
    <w:rsid w:val="00780DA4"/>
    <w:rsid w:val="007D4913"/>
    <w:rsid w:val="007F0C09"/>
    <w:rsid w:val="007F1BD4"/>
    <w:rsid w:val="008115C7"/>
    <w:rsid w:val="008652C9"/>
    <w:rsid w:val="00887EC7"/>
    <w:rsid w:val="0089791B"/>
    <w:rsid w:val="008A4EA7"/>
    <w:rsid w:val="008A6284"/>
    <w:rsid w:val="008D1961"/>
    <w:rsid w:val="008E1E45"/>
    <w:rsid w:val="00900F35"/>
    <w:rsid w:val="00911579"/>
    <w:rsid w:val="009223F0"/>
    <w:rsid w:val="0092391B"/>
    <w:rsid w:val="00943CF1"/>
    <w:rsid w:val="0095051C"/>
    <w:rsid w:val="0095056F"/>
    <w:rsid w:val="009706C0"/>
    <w:rsid w:val="00977DBD"/>
    <w:rsid w:val="009B3037"/>
    <w:rsid w:val="009C0DC3"/>
    <w:rsid w:val="009D51EE"/>
    <w:rsid w:val="009E123F"/>
    <w:rsid w:val="00A25E46"/>
    <w:rsid w:val="00A268C9"/>
    <w:rsid w:val="00A715AF"/>
    <w:rsid w:val="00A8174B"/>
    <w:rsid w:val="00AA65EE"/>
    <w:rsid w:val="00AE0AC5"/>
    <w:rsid w:val="00AE78AE"/>
    <w:rsid w:val="00AF32F6"/>
    <w:rsid w:val="00B24008"/>
    <w:rsid w:val="00B31E90"/>
    <w:rsid w:val="00B35DA0"/>
    <w:rsid w:val="00B37C9D"/>
    <w:rsid w:val="00B44A44"/>
    <w:rsid w:val="00B62680"/>
    <w:rsid w:val="00B71028"/>
    <w:rsid w:val="00B96E4B"/>
    <w:rsid w:val="00BD5729"/>
    <w:rsid w:val="00BE6232"/>
    <w:rsid w:val="00C02817"/>
    <w:rsid w:val="00C12985"/>
    <w:rsid w:val="00C52F60"/>
    <w:rsid w:val="00C7283B"/>
    <w:rsid w:val="00C82C5D"/>
    <w:rsid w:val="00CA73CB"/>
    <w:rsid w:val="00CD6B0A"/>
    <w:rsid w:val="00CD779D"/>
    <w:rsid w:val="00D00DCF"/>
    <w:rsid w:val="00D3044F"/>
    <w:rsid w:val="00D31ED3"/>
    <w:rsid w:val="00D33BE9"/>
    <w:rsid w:val="00D4263F"/>
    <w:rsid w:val="00D42E79"/>
    <w:rsid w:val="00D51CEF"/>
    <w:rsid w:val="00D71A89"/>
    <w:rsid w:val="00D71F68"/>
    <w:rsid w:val="00D95009"/>
    <w:rsid w:val="00DB2AE7"/>
    <w:rsid w:val="00DB43D9"/>
    <w:rsid w:val="00DD4A90"/>
    <w:rsid w:val="00E36E6C"/>
    <w:rsid w:val="00E52503"/>
    <w:rsid w:val="00E8422D"/>
    <w:rsid w:val="00E854D6"/>
    <w:rsid w:val="00EC74CB"/>
    <w:rsid w:val="00F0676B"/>
    <w:rsid w:val="00F532CD"/>
    <w:rsid w:val="00F65FBB"/>
    <w:rsid w:val="00F821DF"/>
    <w:rsid w:val="00FC6F24"/>
    <w:rsid w:val="5356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1">
    <w:name w:val="页眉 Char"/>
    <w:basedOn w:val="7"/>
    <w:link w:val="5"/>
    <w:qFormat/>
    <w:uiPriority w:val="99"/>
    <w:rPr>
      <w:sz w:val="18"/>
      <w:szCs w:val="18"/>
    </w:rPr>
  </w:style>
  <w:style w:type="character" w:customStyle="1" w:styleId="12">
    <w:name w:val="页脚 Char"/>
    <w:basedOn w:val="7"/>
    <w:link w:val="4"/>
    <w:uiPriority w:val="99"/>
    <w:rPr>
      <w:sz w:val="18"/>
      <w:szCs w:val="18"/>
    </w:rPr>
  </w:style>
  <w:style w:type="character" w:customStyle="1" w:styleId="13">
    <w:name w:val="标题 3 Char"/>
    <w:basedOn w:val="7"/>
    <w:link w:val="3"/>
    <w:qFormat/>
    <w:uiPriority w:val="9"/>
    <w:rPr>
      <w:rFonts w:ascii="宋体" w:hAnsi="宋体" w:eastAsia="宋体" w:cs="宋体"/>
      <w:b/>
      <w:bCs/>
      <w:kern w:val="0"/>
      <w:sz w:val="27"/>
      <w:szCs w:val="27"/>
    </w:rPr>
  </w:style>
  <w:style w:type="paragraph" w:customStyle="1" w:styleId="14">
    <w:name w:val="List Paragraph"/>
    <w:basedOn w:val="1"/>
    <w:qFormat/>
    <w:uiPriority w:val="0"/>
    <w:pPr>
      <w:ind w:firstLine="420" w:firstLineChars="200"/>
    </w:pPr>
  </w:style>
  <w:style w:type="character" w:customStyle="1" w:styleId="15">
    <w:name w:val="标题 1 Char"/>
    <w:basedOn w:val="7"/>
    <w:link w:val="2"/>
    <w:qFormat/>
    <w:uiPriority w:val="9"/>
    <w:rPr>
      <w:b/>
      <w:bCs/>
      <w:kern w:val="44"/>
      <w:sz w:val="44"/>
      <w:szCs w:val="44"/>
    </w:rPr>
  </w:style>
  <w:style w:type="paragraph" w:customStyle="1"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2292</Words>
  <Characters>13067</Characters>
  <Lines>108</Lines>
  <Paragraphs>30</Paragraphs>
  <TotalTime>0</TotalTime>
  <ScaleCrop>false</ScaleCrop>
  <LinksUpToDate>false</LinksUpToDate>
  <CharactersWithSpaces>15329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2017-08-03T13:28:00Z</dcterms:created>
  <dc:creator>孙华</dc:creator>
  <cp:lastModifiedBy>许昌市公共资源交易中心:孟莉</cp:lastModifiedBy>
  <cp:lastPrinted>2017-08-14T08:05:00Z</cp:lastPrinted>
  <dcterms:modified xsi:type="dcterms:W3CDTF">2017-08-15T07:14:17Z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