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left="2533" w:leftChars="174" w:hanging="2168" w:hangingChars="600"/>
        <w:rPr>
          <w:rFonts w:hint="eastAsia" w:asciiTheme="majorEastAsia" w:hAnsiTheme="majorEastAsia" w:eastAsiaTheme="majorEastAsia" w:cstheme="majorEastAsia"/>
          <w:b/>
          <w:bCs/>
          <w:sz w:val="36"/>
          <w:szCs w:val="36"/>
          <w:lang w:val="zh-CN" w:eastAsia="zh-CN"/>
        </w:rPr>
      </w:pPr>
      <w:r>
        <w:rPr>
          <w:rFonts w:hint="eastAsia" w:ascii="宋体" w:hAnsi="宋体" w:eastAsia="宋体" w:cs="宋体"/>
          <w:b/>
          <w:bCs/>
          <w:sz w:val="36"/>
          <w:szCs w:val="36"/>
          <w:lang w:val="zh-CN" w:eastAsia="zh-CN"/>
        </w:rPr>
        <w:t>YLZB</w:t>
      </w:r>
      <w:r>
        <w:rPr>
          <w:rFonts w:hint="eastAsia" w:asciiTheme="majorEastAsia" w:hAnsiTheme="majorEastAsia" w:eastAsiaTheme="majorEastAsia" w:cstheme="majorEastAsia"/>
          <w:b/>
          <w:bCs/>
          <w:sz w:val="36"/>
          <w:szCs w:val="36"/>
          <w:lang w:val="zh-CN" w:eastAsia="zh-CN"/>
        </w:rPr>
        <w:t>-G2017</w:t>
      </w:r>
      <w:r>
        <w:rPr>
          <w:rFonts w:hint="eastAsia" w:asciiTheme="majorEastAsia" w:hAnsiTheme="majorEastAsia" w:eastAsiaTheme="majorEastAsia" w:cstheme="majorEastAsia"/>
          <w:b/>
          <w:bCs/>
          <w:sz w:val="36"/>
          <w:szCs w:val="36"/>
          <w:lang w:val="en-US" w:eastAsia="zh-CN"/>
        </w:rPr>
        <w:t>022</w:t>
      </w:r>
      <w:r>
        <w:rPr>
          <w:rFonts w:hint="eastAsia" w:asciiTheme="majorEastAsia" w:hAnsiTheme="majorEastAsia" w:eastAsiaTheme="majorEastAsia" w:cstheme="majorEastAsia"/>
          <w:b/>
          <w:bCs/>
          <w:sz w:val="36"/>
          <w:szCs w:val="36"/>
          <w:lang w:val="zh-CN" w:eastAsia="zh-CN"/>
        </w:rPr>
        <w:t>号禹州</w:t>
      </w:r>
      <w:r>
        <w:rPr>
          <w:rFonts w:hint="eastAsia" w:asciiTheme="majorEastAsia" w:hAnsiTheme="majorEastAsia" w:eastAsiaTheme="majorEastAsia" w:cstheme="majorEastAsia"/>
          <w:b/>
          <w:bCs/>
          <w:sz w:val="36"/>
          <w:szCs w:val="36"/>
          <w:lang w:val="zh-CN"/>
        </w:rPr>
        <w:t>市人民医院“所需</w:t>
      </w:r>
      <w:r>
        <w:rPr>
          <w:rFonts w:hint="eastAsia" w:asciiTheme="majorEastAsia" w:hAnsiTheme="majorEastAsia" w:eastAsiaTheme="majorEastAsia" w:cstheme="majorEastAsia"/>
          <w:b/>
          <w:bCs/>
          <w:sz w:val="36"/>
          <w:szCs w:val="36"/>
          <w:lang w:val="zh-CN" w:eastAsia="zh-CN"/>
        </w:rPr>
        <w:t>数字化X线平板摄影</w:t>
      </w:r>
    </w:p>
    <w:p>
      <w:pPr>
        <w:spacing w:line="480" w:lineRule="exact"/>
        <w:ind w:left="2520" w:leftChars="1200" w:firstLine="723" w:firstLineChars="200"/>
        <w:rPr>
          <w:rFonts w:hint="eastAsia" w:asciiTheme="majorEastAsia" w:hAnsiTheme="majorEastAsia" w:eastAsiaTheme="majorEastAsia" w:cstheme="majorEastAsia"/>
          <w:b/>
          <w:bCs/>
          <w:sz w:val="36"/>
          <w:szCs w:val="36"/>
          <w:lang w:val="zh-CN" w:eastAsia="zh-CN"/>
        </w:rPr>
      </w:pPr>
      <w:r>
        <w:rPr>
          <w:rFonts w:hint="eastAsia" w:asciiTheme="majorEastAsia" w:hAnsiTheme="majorEastAsia" w:eastAsiaTheme="majorEastAsia" w:cstheme="majorEastAsia"/>
          <w:b/>
          <w:bCs/>
          <w:sz w:val="36"/>
          <w:szCs w:val="36"/>
          <w:lang w:val="zh-CN"/>
        </w:rPr>
        <w:t>系统（进口）等医疗设备采购”</w:t>
      </w:r>
      <w:r>
        <w:rPr>
          <w:rFonts w:hint="eastAsia" w:asciiTheme="majorEastAsia" w:hAnsiTheme="majorEastAsia" w:eastAsiaTheme="majorEastAsia" w:cstheme="majorEastAsia"/>
          <w:b/>
          <w:bCs/>
          <w:sz w:val="36"/>
          <w:szCs w:val="36"/>
          <w:lang w:val="zh-CN" w:eastAsia="zh-CN"/>
        </w:rPr>
        <w:t>项目</w:t>
      </w:r>
    </w:p>
    <w:p>
      <w:pPr>
        <w:spacing w:line="480" w:lineRule="exact"/>
        <w:ind w:left="2520" w:leftChars="1200" w:firstLine="723" w:firstLineChars="200"/>
        <w:rPr>
          <w:rFonts w:hint="eastAsia" w:asciiTheme="majorEastAsia" w:hAnsiTheme="majorEastAsia" w:eastAsiaTheme="majorEastAsia" w:cstheme="majorEastAsia"/>
          <w:b/>
          <w:bCs/>
          <w:sz w:val="36"/>
          <w:szCs w:val="36"/>
          <w:lang w:val="zh-CN" w:eastAsia="zh-CN"/>
        </w:rPr>
      </w:pPr>
    </w:p>
    <w:p>
      <w:pPr>
        <w:adjustRightInd w:val="0"/>
        <w:snapToGrid w:val="0"/>
        <w:spacing w:line="360" w:lineRule="auto"/>
        <w:ind w:firstLine="482" w:firstLineChars="200"/>
        <w:rPr>
          <w:rFonts w:hint="eastAsia" w:ascii="宋体" w:hAnsi="宋体"/>
          <w:b/>
          <w:bCs/>
          <w:sz w:val="24"/>
          <w:szCs w:val="24"/>
          <w:lang w:val="en-US" w:eastAsia="zh-CN"/>
        </w:rPr>
      </w:pPr>
      <w:r>
        <w:rPr>
          <w:rFonts w:hint="eastAsia" w:ascii="宋体" w:hAnsi="宋体"/>
          <w:b/>
          <w:bCs/>
          <w:sz w:val="24"/>
          <w:szCs w:val="24"/>
          <w:lang w:val="en-US" w:eastAsia="zh-CN"/>
        </w:rPr>
        <w:t>（一）项目概况</w:t>
      </w:r>
    </w:p>
    <w:p>
      <w:pPr>
        <w:autoSpaceDE w:val="0"/>
        <w:autoSpaceDN w:val="0"/>
        <w:adjustRightInd w:val="0"/>
        <w:snapToGrid w:val="0"/>
        <w:spacing w:line="360" w:lineRule="auto"/>
        <w:ind w:firstLine="470" w:firstLineChars="196"/>
        <w:rPr>
          <w:rFonts w:hint="eastAsia" w:ascii="宋体" w:hAnsi="宋体"/>
          <w:sz w:val="24"/>
          <w:lang w:val="zh-CN"/>
        </w:rPr>
      </w:pPr>
      <w:r>
        <w:rPr>
          <w:rFonts w:hint="eastAsia" w:ascii="宋体" w:hAnsi="宋体"/>
          <w:sz w:val="24"/>
          <w:lang w:val="en-US" w:eastAsia="zh-CN"/>
        </w:rPr>
        <w:t>1.</w:t>
      </w:r>
      <w:r>
        <w:rPr>
          <w:rFonts w:hint="eastAsia" w:ascii="宋体" w:hAnsi="宋体"/>
          <w:sz w:val="24"/>
          <w:lang w:val="zh-CN"/>
        </w:rPr>
        <w:t>项目名称：</w:t>
      </w:r>
      <w:r>
        <w:rPr>
          <w:rFonts w:hint="eastAsia" w:ascii="宋体" w:hAnsi="宋体"/>
          <w:sz w:val="24"/>
          <w:lang w:val="zh-CN" w:eastAsia="zh-CN"/>
        </w:rPr>
        <w:t>禹州市人民医院“所需数字化X线平板摄影系统（进口）等医疗设备采购”</w:t>
      </w:r>
      <w:r>
        <w:rPr>
          <w:rFonts w:hint="eastAsia" w:ascii="宋体" w:hAnsi="宋体"/>
          <w:sz w:val="24"/>
          <w:lang w:val="zh-CN"/>
        </w:rPr>
        <w:t>项目</w:t>
      </w:r>
    </w:p>
    <w:p>
      <w:pPr>
        <w:adjustRightInd w:val="0"/>
        <w:snapToGrid w:val="0"/>
        <w:spacing w:line="360" w:lineRule="auto"/>
        <w:ind w:firstLine="480" w:firstLineChars="200"/>
        <w:rPr>
          <w:rFonts w:hint="eastAsia" w:ascii="宋体" w:hAnsi="宋体"/>
          <w:b w:val="0"/>
          <w:bCs w:val="0"/>
          <w:sz w:val="24"/>
          <w:szCs w:val="24"/>
          <w:lang w:val="en-US" w:eastAsia="zh-CN"/>
        </w:rPr>
      </w:pPr>
      <w:r>
        <w:rPr>
          <w:rFonts w:hint="eastAsia" w:ascii="宋体" w:hAnsi="宋体"/>
          <w:sz w:val="24"/>
          <w:lang w:val="en-US" w:eastAsia="zh-CN"/>
        </w:rPr>
        <w:t>2.</w:t>
      </w:r>
      <w:r>
        <w:rPr>
          <w:rFonts w:hint="eastAsia" w:ascii="宋体" w:hAnsi="宋体"/>
          <w:sz w:val="24"/>
          <w:szCs w:val="24"/>
        </w:rPr>
        <w:t>项目需求：</w:t>
      </w:r>
      <w:r>
        <w:rPr>
          <w:rFonts w:hint="eastAsia" w:ascii="宋体" w:hAnsi="宋体"/>
          <w:b w:val="0"/>
          <w:bCs w:val="0"/>
          <w:sz w:val="24"/>
          <w:szCs w:val="24"/>
          <w:lang w:val="en-US" w:eastAsia="zh-CN"/>
        </w:rPr>
        <w:t>A包:数字化X线平板摄影系统（进口）1套。B包:彩超多普勒超声诊断仪（进口）2套。C包:动脉硬化检测仪 1台，肺功能检测仪1台,精神压力分析仪 1台。D包:骨密度分析仪 1台,人体成分分析仪 1台。E包:电导分析仪 1套。</w:t>
      </w:r>
    </w:p>
    <w:p>
      <w:pPr>
        <w:adjustRightInd w:val="0"/>
        <w:snapToGrid w:val="0"/>
        <w:spacing w:line="360" w:lineRule="auto"/>
        <w:ind w:firstLine="482" w:firstLineChars="200"/>
        <w:rPr>
          <w:rFonts w:hint="eastAsia" w:ascii="宋体" w:hAnsi="宋体"/>
          <w:b/>
          <w:bCs/>
          <w:sz w:val="24"/>
          <w:szCs w:val="24"/>
          <w:lang w:val="en-US" w:eastAsia="zh-CN"/>
        </w:rPr>
      </w:pPr>
      <w:r>
        <w:rPr>
          <w:rFonts w:hint="eastAsia" w:ascii="宋体" w:hAnsi="宋体"/>
          <w:b/>
          <w:bCs/>
          <w:sz w:val="24"/>
          <w:szCs w:val="24"/>
          <w:lang w:val="en-US" w:eastAsia="zh-CN"/>
        </w:rPr>
        <w:t>（二）投标条件</w:t>
      </w:r>
    </w:p>
    <w:p>
      <w:pPr>
        <w:keepNext w:val="0"/>
        <w:keepLines w:val="0"/>
        <w:pageBreakBefore w:val="0"/>
        <w:widowControl w:val="0"/>
        <w:kinsoku/>
        <w:wordWrap/>
        <w:overflowPunct/>
        <w:topLinePunct w:val="0"/>
        <w:bidi w:val="0"/>
        <w:snapToGrid w:val="0"/>
        <w:spacing w:line="360" w:lineRule="auto"/>
        <w:ind w:left="0" w:leftChars="0" w:right="0" w:rightChars="0" w:firstLine="480" w:firstLineChars="200"/>
        <w:textAlignment w:val="auto"/>
        <w:outlineLvl w:val="9"/>
        <w:rPr>
          <w:rFonts w:hint="eastAsia" w:ascii="宋体" w:hAnsi="宋体" w:cs="宋体"/>
          <w:sz w:val="24"/>
          <w:szCs w:val="24"/>
          <w:lang w:val="zh-CN"/>
        </w:rPr>
      </w:pPr>
      <w:r>
        <w:rPr>
          <w:rFonts w:hint="eastAsia" w:ascii="宋体" w:hAnsi="宋体" w:cs="宋体"/>
          <w:sz w:val="24"/>
          <w:szCs w:val="24"/>
          <w:lang w:val="zh-CN"/>
        </w:rPr>
        <w:t>1</w:t>
      </w:r>
      <w:r>
        <w:rPr>
          <w:rFonts w:hint="eastAsia" w:ascii="宋体" w:hAnsi="宋体" w:cs="宋体"/>
          <w:sz w:val="24"/>
          <w:szCs w:val="24"/>
          <w:lang w:val="en-US" w:eastAsia="zh-CN"/>
        </w:rPr>
        <w:t>.</w:t>
      </w:r>
      <w:r>
        <w:rPr>
          <w:rFonts w:hint="eastAsia" w:ascii="宋体" w:hAnsi="宋体" w:cs="宋体"/>
          <w:sz w:val="24"/>
          <w:szCs w:val="24"/>
          <w:lang w:val="zh-CN"/>
        </w:rPr>
        <w:t>符合《中华人民共和国政府采购法》第二十二条的规定；</w:t>
      </w:r>
    </w:p>
    <w:p>
      <w:pPr>
        <w:keepNext w:val="0"/>
        <w:keepLines w:val="0"/>
        <w:pageBreakBefore w:val="0"/>
        <w:widowControl w:val="0"/>
        <w:kinsoku/>
        <w:wordWrap/>
        <w:overflowPunct/>
        <w:topLinePunct w:val="0"/>
        <w:bidi w:val="0"/>
        <w:snapToGrid w:val="0"/>
        <w:spacing w:line="360" w:lineRule="auto"/>
        <w:ind w:left="0" w:leftChars="0" w:right="0" w:rightChars="0" w:firstLine="480" w:firstLineChars="200"/>
        <w:textAlignment w:val="auto"/>
        <w:outlineLvl w:val="9"/>
        <w:rPr>
          <w:rFonts w:hint="eastAsia" w:ascii="宋体" w:hAnsi="宋体" w:cs="宋体"/>
          <w:sz w:val="24"/>
          <w:szCs w:val="24"/>
          <w:lang w:val="zh-CN"/>
        </w:rPr>
      </w:pPr>
      <w:r>
        <w:rPr>
          <w:rFonts w:hint="eastAsia" w:ascii="宋体" w:hAnsi="宋体" w:cs="宋体"/>
          <w:sz w:val="24"/>
          <w:szCs w:val="24"/>
          <w:lang w:val="zh-CN"/>
        </w:rPr>
        <w:t>2</w:t>
      </w:r>
      <w:r>
        <w:rPr>
          <w:rFonts w:hint="eastAsia" w:ascii="宋体" w:hAnsi="宋体" w:cs="宋体"/>
          <w:sz w:val="24"/>
          <w:szCs w:val="24"/>
          <w:lang w:val="en-US" w:eastAsia="zh-CN"/>
        </w:rPr>
        <w:t>.</w:t>
      </w:r>
      <w:r>
        <w:rPr>
          <w:rFonts w:hint="eastAsia" w:ascii="宋体" w:hAnsi="宋体" w:cs="宋体"/>
          <w:sz w:val="24"/>
          <w:szCs w:val="24"/>
          <w:lang w:val="zh-CN"/>
        </w:rPr>
        <w:t>具有独立法人资格和合法经营资格的产品制造商或经销商，经营范围须包含拟投产品，能有效的履行合同，有良好的商业信誉和售后服务体系；</w:t>
      </w:r>
    </w:p>
    <w:p>
      <w:pPr>
        <w:keepNext w:val="0"/>
        <w:keepLines w:val="0"/>
        <w:pageBreakBefore w:val="0"/>
        <w:widowControl w:val="0"/>
        <w:kinsoku/>
        <w:wordWrap/>
        <w:overflowPunct/>
        <w:topLinePunct w:val="0"/>
        <w:bidi w:val="0"/>
        <w:snapToGrid w:val="0"/>
        <w:spacing w:line="360" w:lineRule="auto"/>
        <w:ind w:left="0" w:leftChars="0" w:right="0" w:rightChars="0" w:firstLine="480" w:firstLineChars="200"/>
        <w:textAlignment w:val="auto"/>
        <w:outlineLvl w:val="9"/>
        <w:rPr>
          <w:rFonts w:hint="eastAsia" w:ascii="宋体" w:hAnsi="宋体" w:cs="宋体"/>
          <w:color w:val="auto"/>
          <w:sz w:val="24"/>
          <w:szCs w:val="24"/>
          <w:highlight w:val="none"/>
          <w:u w:val="none"/>
          <w:lang w:val="zh-CN"/>
        </w:rPr>
      </w:pPr>
      <w:r>
        <w:rPr>
          <w:rFonts w:hint="eastAsia" w:ascii="宋体" w:hAnsi="宋体" w:cs="宋体"/>
          <w:color w:val="auto"/>
          <w:sz w:val="24"/>
          <w:szCs w:val="24"/>
          <w:highlight w:val="none"/>
          <w:u w:val="none"/>
          <w:lang w:val="zh-CN"/>
        </w:rPr>
        <w:t>3</w:t>
      </w:r>
      <w:r>
        <w:rPr>
          <w:rFonts w:hint="eastAsia" w:ascii="宋体" w:hAnsi="宋体" w:cs="宋体"/>
          <w:color w:val="auto"/>
          <w:sz w:val="24"/>
          <w:szCs w:val="24"/>
          <w:highlight w:val="none"/>
          <w:u w:val="none"/>
          <w:lang w:val="en-US" w:eastAsia="zh-CN"/>
        </w:rPr>
        <w:t>.</w:t>
      </w:r>
      <w:r>
        <w:rPr>
          <w:rFonts w:hint="eastAsia" w:ascii="宋体" w:hAnsi="宋体" w:cs="宋体"/>
          <w:color w:val="auto"/>
          <w:sz w:val="24"/>
          <w:szCs w:val="24"/>
          <w:highlight w:val="none"/>
          <w:u w:val="none"/>
          <w:lang w:val="zh-CN"/>
        </w:rPr>
        <w:t>参加采购活动前三年内在经营活动中，没有重大违法记录书面声明函。（格式内容自拟）</w:t>
      </w:r>
    </w:p>
    <w:p>
      <w:pPr>
        <w:keepNext w:val="0"/>
        <w:keepLines w:val="0"/>
        <w:pageBreakBefore w:val="0"/>
        <w:widowControl w:val="0"/>
        <w:kinsoku/>
        <w:wordWrap/>
        <w:overflowPunct/>
        <w:topLinePunct w:val="0"/>
        <w:bidi w:val="0"/>
        <w:snapToGrid w:val="0"/>
        <w:spacing w:line="360" w:lineRule="auto"/>
        <w:ind w:left="0" w:leftChars="0" w:right="0" w:rightChars="0" w:firstLine="480" w:firstLineChars="200"/>
        <w:textAlignment w:val="auto"/>
        <w:outlineLvl w:val="9"/>
        <w:rPr>
          <w:rFonts w:hint="eastAsia" w:ascii="宋体" w:hAnsi="宋体" w:cs="宋体"/>
          <w:sz w:val="24"/>
          <w:szCs w:val="24"/>
          <w:lang w:val="zh-CN"/>
        </w:rPr>
      </w:pPr>
      <w:r>
        <w:rPr>
          <w:rFonts w:hint="eastAsia" w:ascii="宋体" w:hAnsi="宋体" w:cs="宋体"/>
          <w:sz w:val="24"/>
          <w:szCs w:val="24"/>
          <w:lang w:val="zh-CN"/>
        </w:rPr>
        <w:t>4</w:t>
      </w:r>
      <w:r>
        <w:rPr>
          <w:rFonts w:hint="eastAsia" w:ascii="宋体" w:hAnsi="宋体" w:cs="宋体"/>
          <w:sz w:val="24"/>
          <w:szCs w:val="24"/>
          <w:lang w:val="en-US" w:eastAsia="zh-CN"/>
        </w:rPr>
        <w:t>.</w:t>
      </w:r>
      <w:r>
        <w:rPr>
          <w:rFonts w:hint="eastAsia" w:ascii="宋体" w:hAnsi="宋体" w:cs="宋体"/>
          <w:sz w:val="24"/>
          <w:szCs w:val="24"/>
          <w:lang w:val="zh-CN"/>
        </w:rPr>
        <w:t>制造商针对本项目的唯一授权委托书（如果厂商或代理商出具的产品授权，是英文格式的，投标人提供一套内容一致的中文翻译的授权）；</w:t>
      </w:r>
    </w:p>
    <w:p>
      <w:pPr>
        <w:keepNext w:val="0"/>
        <w:keepLines w:val="0"/>
        <w:pageBreakBefore w:val="0"/>
        <w:widowControl w:val="0"/>
        <w:kinsoku/>
        <w:wordWrap/>
        <w:overflowPunct/>
        <w:topLinePunct w:val="0"/>
        <w:bidi w:val="0"/>
        <w:snapToGrid w:val="0"/>
        <w:spacing w:line="360" w:lineRule="auto"/>
        <w:ind w:left="0" w:leftChars="0" w:right="0" w:rightChars="0" w:firstLine="480" w:firstLineChars="200"/>
        <w:textAlignment w:val="auto"/>
        <w:outlineLvl w:val="9"/>
        <w:rPr>
          <w:rFonts w:hint="eastAsia" w:ascii="宋体" w:hAnsi="宋体" w:cs="宋体"/>
          <w:sz w:val="24"/>
          <w:szCs w:val="24"/>
          <w:lang w:val="zh-CN"/>
        </w:rPr>
      </w:pPr>
      <w:r>
        <w:rPr>
          <w:rFonts w:hint="eastAsia" w:ascii="宋体" w:hAnsi="宋体" w:cs="宋体"/>
          <w:sz w:val="24"/>
          <w:szCs w:val="24"/>
          <w:lang w:val="zh-CN"/>
        </w:rPr>
        <w:t>5</w:t>
      </w:r>
      <w:r>
        <w:rPr>
          <w:rFonts w:hint="eastAsia" w:ascii="宋体" w:hAnsi="宋体" w:cs="宋体"/>
          <w:sz w:val="24"/>
          <w:szCs w:val="24"/>
          <w:lang w:val="en-US" w:eastAsia="zh-CN"/>
        </w:rPr>
        <w:t>.</w:t>
      </w:r>
      <w:r>
        <w:rPr>
          <w:rFonts w:hint="eastAsia" w:ascii="宋体" w:hAnsi="宋体" w:cs="宋体"/>
          <w:sz w:val="24"/>
          <w:szCs w:val="24"/>
          <w:lang w:val="zh-CN"/>
        </w:rPr>
        <w:t>投标人须具有相应范围的《医疗器械生产许可证》或《医疗器械经营许可证》经营范围涵盖所投包号产品，并具有投标产品的《中华人民共和国医疗器械注册证》（代理商须提供复印件）；所投设备如为进口产品的，须符合中华人民共和国进口商品安全标准并具备国家医疗管理局注册证。</w:t>
      </w:r>
    </w:p>
    <w:p>
      <w:pPr>
        <w:keepNext w:val="0"/>
        <w:keepLines w:val="0"/>
        <w:pageBreakBefore w:val="0"/>
        <w:widowControl w:val="0"/>
        <w:kinsoku/>
        <w:wordWrap/>
        <w:overflowPunct/>
        <w:topLinePunct w:val="0"/>
        <w:bidi w:val="0"/>
        <w:snapToGrid w:val="0"/>
        <w:spacing w:line="360" w:lineRule="auto"/>
        <w:ind w:left="0" w:leftChars="0" w:right="0" w:rightChars="0" w:firstLine="480" w:firstLineChars="200"/>
        <w:textAlignment w:val="auto"/>
        <w:outlineLvl w:val="9"/>
        <w:rPr>
          <w:rFonts w:hint="eastAsia" w:ascii="宋体" w:hAnsi="宋体" w:cs="宋体"/>
          <w:sz w:val="24"/>
          <w:szCs w:val="24"/>
          <w:lang w:val="zh-CN"/>
        </w:rPr>
      </w:pPr>
      <w:r>
        <w:rPr>
          <w:rFonts w:hint="eastAsia" w:ascii="宋体" w:hAnsi="宋体" w:cs="宋体"/>
          <w:sz w:val="24"/>
          <w:szCs w:val="24"/>
          <w:lang w:val="zh-CN"/>
        </w:rPr>
        <w:t>6</w:t>
      </w:r>
      <w:r>
        <w:rPr>
          <w:rFonts w:hint="eastAsia" w:ascii="宋体" w:hAnsi="宋体" w:cs="宋体"/>
          <w:sz w:val="24"/>
          <w:szCs w:val="24"/>
          <w:lang w:val="en-US" w:eastAsia="zh-CN"/>
        </w:rPr>
        <w:t>.</w:t>
      </w:r>
      <w:r>
        <w:rPr>
          <w:rFonts w:hint="eastAsia" w:ascii="宋体" w:hAnsi="宋体" w:cs="宋体"/>
          <w:sz w:val="24"/>
          <w:szCs w:val="24"/>
          <w:lang w:val="zh-CN"/>
        </w:rPr>
        <w:t>本次招标不接受联合体投标。</w:t>
      </w:r>
    </w:p>
    <w:p>
      <w:pPr>
        <w:keepNext w:val="0"/>
        <w:keepLines w:val="0"/>
        <w:pageBreakBefore w:val="0"/>
        <w:widowControl w:val="0"/>
        <w:kinsoku/>
        <w:wordWrap/>
        <w:overflowPunct/>
        <w:topLinePunct w:val="0"/>
        <w:bidi w:val="0"/>
        <w:snapToGrid w:val="0"/>
        <w:spacing w:line="360" w:lineRule="auto"/>
        <w:ind w:left="0" w:leftChars="0" w:right="0" w:rightChars="0" w:firstLine="482" w:firstLineChars="200"/>
        <w:textAlignment w:val="auto"/>
        <w:outlineLvl w:val="9"/>
        <w:rPr>
          <w:rFonts w:hint="eastAsia" w:ascii="宋体" w:hAnsi="宋体"/>
          <w:b/>
          <w:bCs/>
          <w:sz w:val="24"/>
          <w:szCs w:val="24"/>
          <w:lang w:val="zh-CN" w:eastAsia="zh-CN"/>
        </w:rPr>
      </w:pPr>
      <w:r>
        <w:rPr>
          <w:rFonts w:hint="eastAsia" w:ascii="宋体" w:hAnsi="宋体"/>
          <w:b/>
          <w:bCs/>
          <w:sz w:val="24"/>
          <w:szCs w:val="24"/>
          <w:lang w:val="zh-CN" w:eastAsia="zh-CN"/>
        </w:rPr>
        <w:t>（三）项目需求</w:t>
      </w:r>
    </w:p>
    <w:p>
      <w:pPr>
        <w:autoSpaceDE w:val="0"/>
        <w:autoSpaceDN w:val="0"/>
        <w:adjustRightInd w:val="0"/>
        <w:snapToGrid w:val="0"/>
        <w:spacing w:line="360" w:lineRule="auto"/>
        <w:ind w:firstLine="3213" w:firstLineChars="1000"/>
        <w:jc w:val="both"/>
        <w:rPr>
          <w:rFonts w:hint="eastAsia" w:ascii="宋体" w:hAnsi="宋体"/>
          <w:b/>
          <w:sz w:val="32"/>
          <w:szCs w:val="32"/>
        </w:rPr>
      </w:pPr>
      <w:r>
        <w:rPr>
          <w:rFonts w:hint="eastAsia" w:ascii="宋体" w:hAnsi="宋体"/>
          <w:b/>
          <w:sz w:val="32"/>
          <w:szCs w:val="32"/>
        </w:rPr>
        <w:t>设备配置及主要技术规格</w:t>
      </w:r>
    </w:p>
    <w:p>
      <w:pPr>
        <w:pStyle w:val="7"/>
        <w:snapToGrid w:val="0"/>
        <w:spacing w:line="340" w:lineRule="exact"/>
        <w:ind w:left="405" w:firstLine="0" w:firstLineChars="0"/>
        <w:jc w:val="left"/>
        <w:rPr>
          <w:rFonts w:hint="eastAsia" w:ascii="宋体" w:hAnsi="宋体"/>
          <w:b/>
          <w:bCs/>
          <w:sz w:val="28"/>
          <w:szCs w:val="28"/>
        </w:rPr>
      </w:pPr>
      <w:r>
        <w:rPr>
          <w:rFonts w:hint="eastAsia" w:ascii="宋体" w:hAnsi="宋体"/>
          <w:b/>
          <w:bCs/>
          <w:sz w:val="28"/>
          <w:szCs w:val="28"/>
          <w:lang w:val="en-US" w:eastAsia="zh-CN"/>
        </w:rPr>
        <w:t>A</w:t>
      </w:r>
      <w:r>
        <w:rPr>
          <w:rFonts w:hint="eastAsia" w:ascii="宋体" w:hAnsi="宋体"/>
          <w:b/>
          <w:bCs/>
          <w:sz w:val="28"/>
          <w:szCs w:val="28"/>
        </w:rPr>
        <w:t>包：</w:t>
      </w:r>
    </w:p>
    <w:p>
      <w:pPr>
        <w:autoSpaceDE w:val="0"/>
        <w:autoSpaceDN w:val="0"/>
        <w:adjustRightInd w:val="0"/>
        <w:snapToGrid w:val="0"/>
        <w:spacing w:line="360" w:lineRule="auto"/>
        <w:ind w:firstLine="470" w:firstLineChars="196"/>
        <w:jc w:val="center"/>
        <w:rPr>
          <w:rFonts w:hint="eastAsia" w:ascii="宋体" w:hAnsi="宋体"/>
          <w:sz w:val="24"/>
        </w:rPr>
      </w:pPr>
      <w:r>
        <w:rPr>
          <w:rFonts w:hint="eastAsia" w:ascii="宋体" w:hAnsi="宋体"/>
          <w:sz w:val="24"/>
        </w:rPr>
        <w:t>DR技术参数及要求</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一、设备名称：数字化X线平板摄影系统。</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二、数量：一台。</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三、设备要求及用途：进口品牌，适用于临床数字化摄影，能够满足胸部、四肢、头颅、腹部及等部位进行立位、卧位、侧卧位以及特殊体位的X线检查。</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四、主要技术参数及要求：</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1、平板探测器</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1.1探测器类型：非晶硅整板探测器，非拼接结构。</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1.2探测器成像面积：≥41×41cm。</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1.3采集像素矩阵：≥3072×3072，有效采集像素≥850万。</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1.4极限空间分辨率：≥3.5LP/mm。</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1.5图像输出灰阶：≥14bits。</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1.6 X射线量子探测效率（DQE）≥60% （RQA5 ,1uGy）。</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1.7冷却方式：半导体冷却、自然风冷却或风冷。</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2、主机原厂生产高频高压发生器</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2.1最大输出功率：≥50KW。</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2.2最大输出电压：150KV。</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2.3逆变频率：≥50kHz。</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2.4最大毫安量：≥750mA。</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2.5最短曝光容积率：≤1.0mAs。</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3、落地式电动多功能机架</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3.1满足立位胸片、俯卧位、腰椎正侧位以及其他复杂体位的拍片需要。</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3.2平衡臂垂直电动升降范围：≥125cm。</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3.3 SID电动控制，SID范围：1000—1800mm。</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3.4臂旋转范围：-30°— +120°。</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3.5探测器电动旋转范围：-30°— +30°。</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3.6具备一键定位功能。</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3.7 X线球管和探测器可以旋转以满足特殊角度摄影的需要。</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3.8具备彩色显示触摸操作中文界面，具有显示、调整X射线摄影条件；焦点选择；机架位置状态显示；控制机架运动等功能。</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3.9 具备机架非接触式（如红外线）自动防碰撞系统。</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4、X线球管</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4.1双焦点：焦点规格≤0.6mm/1.2mm。</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4.2焦点最大功率：≥20/60KW。</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4.3阳极热容量：≥300kHU。</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4.4阳极转速：≥7000转/min。</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4.5球管最高管电压：150KV。</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4.6最大管电流：≥630mA。</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5、滤线栅及限束器</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5.1具备可更换滤线栅装置，用户可根据需求快速更换滤线栅。</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5.2滤线栅栅格比为10:1。</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5.3滤线栅焦距1000mm。</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5.4限束器亮度：焦片100cm时≥160lux。</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6、摄影床</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6.1摄影床：移动式摄影床，方便快速摆位定位。</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6.2摄影床高度：≤70cm。</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6.3摄影床最大承重：≥220kg。</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7、系统控制及数字图像处理系统</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7.1系统控制（包含发生器）与信息、图像控制一体化设计，中文界面。</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7.2控制台彩色液晶监视器≥18英寸，显示矩阵≥1650×1050。</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7.3主机双核CPU，主频≥2.7GHz。</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7.4主机工作站硬盘容量≥400G。</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7.5系统内存≥3G。</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7.6接口支持：通过以太网输出DICOM-3.0格式图像,具备传输/接收、打印、存储、查询、工作表等功能。</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7.7具备数据检查功能：如查找病人和检查数据、输入新病人数据、创建新检查、访问检查单等。</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7.8具备曝光参数设定及AEC控制功能。</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7.9具备 APR自动解剖位置程序摄影参数设置功能。</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7.10图像查看及处理功能：搜索和查看存储的影像、更改影像的呈现、添加标记、更改方向、反向查看；更改影像质量控制（亮度、对比度、边缘增强等）、边框、重新处理、以单或多格式打印影像、图像存储和传输等。</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7.11具备更改密码、查看系统状态、软件更新、影像恢复、检测器校准提醒、检测器校准、病人CD创建等功能。</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7.12具备安全管理员功能。</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8、工作站2套：</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8.1 CPU双核主频≥2.5GHz，内存≥4GB，通讯网卡≥1000M网卡。</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8.2具备CD/DVD刻录功能：DVD光驱和USB接口。</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8.3硬盘容量≥500GB。</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8.4 ≥19英吋医用液晶显示器1个。</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9、配置与工作站相适应的电脑桌椅2套。</w:t>
      </w:r>
    </w:p>
    <w:p>
      <w:pPr>
        <w:pStyle w:val="7"/>
        <w:snapToGrid w:val="0"/>
        <w:spacing w:line="340" w:lineRule="exact"/>
        <w:ind w:left="405" w:firstLine="0" w:firstLineChars="0"/>
        <w:jc w:val="left"/>
        <w:rPr>
          <w:rFonts w:hint="eastAsia" w:ascii="宋体" w:hAnsi="宋体"/>
          <w:b/>
          <w:bCs/>
          <w:sz w:val="28"/>
          <w:szCs w:val="28"/>
          <w:lang w:val="en-US" w:eastAsia="zh-CN"/>
        </w:rPr>
      </w:pPr>
      <w:r>
        <w:rPr>
          <w:rFonts w:hint="eastAsia" w:ascii="宋体" w:hAnsi="宋体"/>
          <w:b/>
          <w:bCs/>
          <w:sz w:val="28"/>
          <w:szCs w:val="28"/>
          <w:lang w:val="en-US" w:eastAsia="zh-CN"/>
        </w:rPr>
        <w:t>B包：</w:t>
      </w:r>
    </w:p>
    <w:p>
      <w:pPr>
        <w:autoSpaceDE w:val="0"/>
        <w:autoSpaceDN w:val="0"/>
        <w:adjustRightInd w:val="0"/>
        <w:snapToGrid w:val="0"/>
        <w:spacing w:line="360" w:lineRule="auto"/>
        <w:ind w:firstLine="470" w:firstLineChars="196"/>
        <w:jc w:val="center"/>
        <w:rPr>
          <w:rFonts w:hint="eastAsia" w:ascii="宋体" w:hAnsi="宋体"/>
          <w:sz w:val="24"/>
        </w:rPr>
      </w:pPr>
      <w:r>
        <w:rPr>
          <w:rFonts w:hint="eastAsia" w:ascii="宋体" w:hAnsi="宋体"/>
          <w:sz w:val="24"/>
        </w:rPr>
        <w:t>彩色多普勒超声诊断仪技术参数及要求（一）</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一、设备名称：彩色多普勒超声诊断仪。</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二、数量：一套。</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三、设备要求：原装进口，适用于临床腹部、心脏、妇产、泌尿、血管、浅表小器官、儿科、腔内等检查和治疗，具备系统升级功能，交货时系统软件为最新版本。</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四、主要技术参数及要求：</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 xml:space="preserve">  1、显示器：≥21英寸高分辨率医用彩色液晶专业监视器，监视器配置≥1个USB接口，可上下左右任意调整监视器；具备≥10英寸触摸显示屏。</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 xml:space="preserve">  2、探头规格及要求：</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2.1 探头接口≥4个，其中至少包括凸阵探头1个、线阵探头1个（最大有效振子数≥128）、相控阵探头1个。</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2.2 超声频率：电子凸阵：超声频率1.5－5MHz；电子相控阵：超声频率1.5－4MHz；电子线阵：超声频率5－13MHz。</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2.3 扫描速率：相控阵探头，85°角,18cm深度时,帧速率≥65帧/秒；凸阵探头, 最大角度,18cm深度时,帧速率≥50帧/秒。</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3、频谱多普勒：</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3.1方式：脉冲波多普勒：PWD, 连续波多普勒(CWD)。</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 xml:space="preserve">  3.2 最大测量速度：PWD 血流速度最大≥6.0m/s，CWD 血流速度最大≥10m/s 。</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 xml:space="preserve">  3.3最低测量速度1mm/s（非噪声信号）。</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 xml:space="preserve"> 4、彩色多普勒：</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 xml:space="preserve">  4.1彩色显示帧数：相控阵彩色帧率：85°度、深度18cm，彩色帧频≥14帧/s ；凸阵彩色帧率：最大扫描角度、18cm深，全视野彩色帧频≥ 10帧/s 。</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 xml:space="preserve">  4.2显示位置调整：线阵扫描感兴趣的图像范围：-20°— +20°。</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 xml:space="preserve">  4.3彩色增强功能：彩色多普勒能量图（CDE）。</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 xml:space="preserve">  4.4彩色显示速度：最低平均血流测量速度≤2cm/s。</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4.5显示控制：零位移动分±10级、黑/白与彩色比较、彩色对比。</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5、二维灰阶显像主要参数：</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5.1心脏探头扫描角度：最大成像角度≥110°。</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5.2扫描线：每帧线密度≥230超声线。</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5.3超声系统最大探查深度≥33cm（附图证明）。</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5.4发射声束聚焦：发射≥8段。</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5.5接收方式：连续动态接受，聚焦/孔径。</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5.6数字式声束形成器：≥300000系统处理通道技术。</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5.7数字式全程动态聚焦，数字式可变孔径及动态变迹，A/D≥12 bit。</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5.8谐波成像基波频率个数≥3。</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5.9回放重现：回放时间≥60秒。</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5.10预设条件：针对不同的检查脏器，预置最佳化图像的检查条件，减少操作时的调节，及常用所需的外部调节及组合调节。</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5.11增益调节：B/M/D/CFM可独立调节。</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5.12具备触摸式数字TGC调节，TGC分段≥8。</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6、输入/输出信号：</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6.1输入：VCR、外部视频、RGB彩色视频及USB。</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6.2输出：HDMI接口、复合视频、RGB彩色视频、S-视频及USB。</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6.3连通性：≥5个USB接口，USB可直接连接移动硬盘；支持通信DICOM3.0版接口部件；可与医院信息化系统无缝连接。</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7、功能配置：</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7.1 实时二维扫描成像单元。</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7.2 实时立体扫描成像单元（包括自由臂三维重建和容积探头三维/四维成像）。</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7.3自适应像素优化技术，支持所有成像探头，可分级调节，可以同屏双幅实时对比。</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7.4空间复合成像技术，同时作用于发射和接收, 用于二维和彩色等多种模式，可以多角度调节,可以同屏双幅实时对比（附图）。</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7.5自适应彩色增强单元(自动滤除运动伪影)。</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7.6 编码脉冲反相组织二次谐波成像（应用于所有探头，包括4D探头），谐波及基波可以同频对比。</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7.7实时、非预设置二维、频谱及彩色多普勒模式一键式自动图像优化调整。</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7.8 方向性彩色多普勒能量图。</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7.9多普勒图像进行定量分析（支持在线或者将存在硬盘中的图像取出后分析）。</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7.10解剖M型支持所有探头。</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7.11 类风湿活动性定量分析技术。</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7.12自动内中膜测量，支持在同一幅颈动脉图像上进行前壁内膜和后壁内膜的自动内中膜测量，并自动生成报告（附图证明）。</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7.13具备弹性成像功能。</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7.14具备血流增强显示功能。</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7.15具备宽景成像功能。</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7.16具备产科自动测量分析工具。</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7.17具备乳腺检查专用工具包。</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7.18具备穿刺针增强显影功能。</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7.19原始数据采集、储存功能。</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8、测量和分析：(B型、M型、频谱多普勒、彩色模式)。</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8.1 一般测量（距离、面积、周长、容积、角度、时间、斜率、心率、流速、压力、流速比等）。</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8.2 妇产科测量（含胎儿参数、生长发育曲线、胎儿体重估测和预产期等）。</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8.3 多普勒血流测量与分析。</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8.4 心脏功能测量以及各瓣膜功能的测量、分析及报告。</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8.5 外周血管测量与分析。</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9、图像存储与电影回放重现及病案管理单元：</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9.1 具备超声图像静态存储和动态存储功能，可随时调阅、删除、导出图像。</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9.2 原始数据处理，可对回放的图像进行≥30种参数调节；一体化病案管理单元包括病人资料、报告、图像等的存储、修改、检索和打印等。</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9.3 具备≥300GB内置硬盘、USB接口或与本机型对应的信息读取部件（如CD-RW/DVD+RW/DVD-RAM）等存储回放单元。</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10、电源电压：</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10.1 AC 220V，50Hz。</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10.2 配置与彩超功率相匹配的UPS电源，延时工作时间≥2小时。</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11、图像后处理工作站：</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11.1台式商用计算机：≥19英吋彩色液晶显示器，Intel双核CPU，≥2GB 内存，≥500GB高速硬盘，DVD刻录机，安装超声工作站系统软件。</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11.2 配置高保真采集脚踏开关。</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11.3 配置专业高分辨率彩色视频采集卡。</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11.4 配置彩色激光打印机一台。</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11.5 电脑桌一张，座椅一张。</w:t>
      </w:r>
    </w:p>
    <w:p>
      <w:pPr>
        <w:autoSpaceDE w:val="0"/>
        <w:autoSpaceDN w:val="0"/>
        <w:adjustRightInd w:val="0"/>
        <w:snapToGrid w:val="0"/>
        <w:spacing w:line="360" w:lineRule="auto"/>
        <w:ind w:firstLine="470" w:firstLineChars="196"/>
        <w:rPr>
          <w:rFonts w:hint="eastAsia" w:ascii="宋体" w:hAnsi="宋体"/>
          <w:sz w:val="24"/>
        </w:rPr>
      </w:pPr>
    </w:p>
    <w:p>
      <w:pPr>
        <w:autoSpaceDE w:val="0"/>
        <w:autoSpaceDN w:val="0"/>
        <w:adjustRightInd w:val="0"/>
        <w:snapToGrid w:val="0"/>
        <w:spacing w:line="360" w:lineRule="auto"/>
        <w:ind w:firstLine="470" w:firstLineChars="196"/>
        <w:jc w:val="center"/>
        <w:rPr>
          <w:rFonts w:hint="eastAsia" w:ascii="宋体" w:hAnsi="宋体"/>
          <w:sz w:val="24"/>
        </w:rPr>
      </w:pPr>
      <w:r>
        <w:rPr>
          <w:rFonts w:hint="eastAsia" w:ascii="宋体" w:hAnsi="宋体"/>
          <w:sz w:val="24"/>
        </w:rPr>
        <w:t>全数字化彩色多普勒超声诊断仪技术参数及要求（二）</w:t>
      </w:r>
    </w:p>
    <w:p>
      <w:pPr>
        <w:autoSpaceDE w:val="0"/>
        <w:autoSpaceDN w:val="0"/>
        <w:adjustRightInd w:val="0"/>
        <w:snapToGrid w:val="0"/>
        <w:spacing w:line="360" w:lineRule="auto"/>
        <w:ind w:firstLine="470" w:firstLineChars="196"/>
        <w:rPr>
          <w:rFonts w:hint="eastAsia" w:ascii="宋体" w:hAnsi="宋体"/>
          <w:sz w:val="24"/>
        </w:rPr>
      </w:pP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一、设备名称：彩色多普勒超声诊断仪。</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二、数量：一套。</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三、设备要求：原装进口，适用于临床腹部、心脏、妇产、泌尿、血管、浅表小器官、儿科、腔内等检查和治疗，具备系统升级功能，交货时系统软件为最新版本。</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四、主要技术参数及要求：</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 xml:space="preserve">  1、显示器：≥21英寸高分辨率医用彩色液晶专业监视器，监视器配置≥1个USB接口，可上下左右任意调整监视器；具备≥10英寸触摸显示屏。</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 xml:space="preserve">  2、探头规格及要求：</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 xml:space="preserve">  2.1 探头接口≥4个，其中至少包括凸阵探头1个、线阵探头1个（最大有效振子数≥128）、相控阵探头1个，微凸腔内探头1个。</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2.2 超声频率：电子凸阵：超声频率1.5－5MHz；电子相控阵：超声频率1.5－4MHz；电子线阵：超声频率5－13MHz。</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2.3 扫描速率：相控阵探头，85°角,18cm深度时,帧速率≥65帧/秒；凸阵探头, 最大角度,18cm深度时,帧速率≥50帧/秒。</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 xml:space="preserve"> 3、频谱多普勒：</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3.1方式：脉冲波多普勒：PWD, 连续波多普勒(CWD)。</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3.2 最大测量速度：PWD 血流速度最大≥6.0m/s，CWD 血流速度最大≥10m/s 。</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3.3最低测量速度1mm/s（非噪声信号）。</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4、彩色多普勒：</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4.1彩色显示帧数：相控阵彩色帧率：85°度、深度18cm，彩色帧频≥14帧/s ；凸阵彩色帧率：最大扫描角度、18cm深，全视野彩色帧频≥ 10帧/s 。</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4.2显示位置调整：线阵扫描感兴趣的图像范围：-20°— +20°。</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4.3彩色增强功能：彩色多普勒能量图（CDE）。</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4.4彩色显示速度：最低平均血流测量速度≤2cm/s。</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4.5显示控制：零位移动分±10级、黑/白与彩色比较、彩色对比。</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5、二维灰阶显像主要参数：</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5.1心脏探头扫描角度：最大成像角度≥110°。</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5.2扫描线：每帧线密度≥230超声线。</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5.3超声系统最大探查深度≥33cm（附图证明）。</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5.4发射声束聚焦：发射≥8段。</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5.5接收方式：连续动态接受，聚焦/孔径。</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5.6数字式声束形成器：≥300000系统处理通道技术。</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5.7数字式全程动态聚焦，数字式可变孔径及动态变迹，A/D≥12 bit。</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5.8谐波成像基波频率个数≥3。</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5.9回放重现：回放时间≥60秒。</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5.10预设条件：针对不同的检查脏器，预置最佳化图像的检查条件，减少操作时的调节，及常用所需的外部调节及组合调节。</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5.11增益调节：B/M/D/CFM可独立调节。</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5.12具备触摸式数字TGC调节，TGC分段≥8。</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6、输入/输出信号：</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6.1输入：VCR、外部视频、RGB彩色视频及USB。</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6.2输出：HDMI接口、复合视频、RGB彩色视频、S-视频及USB。</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6.3连通性：≥5个USB接口，USB可直接连接移动硬盘；支持通信DICOM3.0版接口部件；可与医院信息化系统无缝连接。</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7、功能配置：</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7.1 实时二维扫描成像单元。</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7.2 实时立体扫描成像单元（包括自由臂三维重建和容积探头三维/四维成像）。</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7.3自适应像素优化技术，支持所有成像探头，可分级调节，可以同屏双幅实时对比。</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7.4空间复合成像技术，同时作用于发射和接收, 用于二维和彩色等多种模式，可以多角度调节,可以同屏双幅实时对比 ,（附图）。</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7.5自适应彩色增强单元(自动滤除运动伪影)。</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7.6 编码脉冲反相组织二次谐波成像（应用于所有探头，包括4D探头），谐波及基波可以同频对比。</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7.7实时、非预设置二维、频谱及彩色多普勒模式一键式自动图像优化调整。</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7.8 方向性彩色多普勒能量图。</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7.9多普勒图像进行定量分析（支持在线或者将存在硬盘中的图像取出后分析）。</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7.10解剖M型支持所有探头。</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7.11 类风湿活动性定量分析技术。</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7.12自动内中膜测量，支持在同一幅颈动脉图像上进行前壁内膜和后壁内膜的自动内中膜测量，并自动生成报告（附图证明）。</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7.13具备弹性成像功能。</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7.14具备血流增强显示功能。</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7.15具备宽景成像功能。</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7.16具备产科自动测量分析工具。</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7.17具备乳腺检查专用工具包。</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7.18具备穿刺针增强显影功能。</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7.19原始数据采集、储存功能。</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8、测量和分析：(B型、M型、频谱多普勒、彩色模式)。</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8.1 一般测量（距离、面积、周长、容积、角度、时间、斜率、心率、流速、压力、流速比等）。</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8.2 妇产科测量（含胎儿参数、生长发育曲线、胎儿体重估测和预产期等）。</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8.3 多普勒血流测量与分析。</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8.4 心脏功能测量以及各瓣膜功能的测量、分析及报告。</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8.5 外周血管测量与分析。</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9、图像存储与电影回放重现及病案管理单元：</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9.1 具备超声图像静态存储和动态存储功能，可随时调阅、删除、导出图像。</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9.2 原始数据处理，可对回放的图像进行≥30种参数调节；一体化病案管理单元包括病人资料、报告、图像等的存储、修改、检索和打印等。</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9.3 具备≥300GB内置硬盘、USB接口或与本机型对应的信息读取部件（如CD-RW/DVD+RW/DVD-RAM）等存储回放单元。</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10、电源电压：</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10.1 AC 220V，50Hz。</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10.2 配置与彩超功率相匹配的UPS电源，延时工作时间≥2小时。</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11、图像后处理工作站：</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11.1台式商用计算机：≥19英吋彩色液晶显示器，Intel双核CPU，≥2GB 内存，≥500GB高速硬盘，DVD刻录机，安装超声工作站系统软件。</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11.2 配置高保真采集脚踏开关。</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11.3 配置专业高分辨率彩色视频采集卡。</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11.4 配置彩色激光打印机一台。</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11.5 电脑桌一张，座椅一张。</w:t>
      </w:r>
    </w:p>
    <w:p>
      <w:pPr>
        <w:pStyle w:val="7"/>
        <w:snapToGrid w:val="0"/>
        <w:spacing w:line="340" w:lineRule="exact"/>
        <w:ind w:left="405" w:firstLine="0" w:firstLineChars="0"/>
        <w:jc w:val="left"/>
        <w:rPr>
          <w:rFonts w:hint="eastAsia" w:ascii="宋体" w:hAnsi="宋体"/>
          <w:b/>
          <w:bCs/>
          <w:sz w:val="28"/>
          <w:szCs w:val="28"/>
          <w:lang w:val="en-US" w:eastAsia="zh-CN"/>
        </w:rPr>
      </w:pPr>
      <w:r>
        <w:rPr>
          <w:rFonts w:hint="eastAsia" w:ascii="宋体" w:hAnsi="宋体"/>
          <w:b/>
          <w:bCs/>
          <w:sz w:val="28"/>
          <w:szCs w:val="28"/>
          <w:lang w:val="en-US" w:eastAsia="zh-CN"/>
        </w:rPr>
        <w:t xml:space="preserve">C包:      </w:t>
      </w:r>
    </w:p>
    <w:p>
      <w:pPr>
        <w:autoSpaceDE w:val="0"/>
        <w:autoSpaceDN w:val="0"/>
        <w:adjustRightInd w:val="0"/>
        <w:snapToGrid w:val="0"/>
        <w:spacing w:line="360" w:lineRule="auto"/>
        <w:ind w:firstLine="470" w:firstLineChars="196"/>
        <w:jc w:val="center"/>
        <w:rPr>
          <w:rFonts w:hint="eastAsia" w:ascii="宋体" w:hAnsi="宋体"/>
          <w:sz w:val="24"/>
        </w:rPr>
      </w:pPr>
      <w:r>
        <w:rPr>
          <w:rFonts w:hint="eastAsia" w:ascii="宋体" w:hAnsi="宋体"/>
          <w:sz w:val="24"/>
        </w:rPr>
        <w:t>动脉硬化检测仪技术参数及要求</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一、设备名称：动脉硬化检测仪</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二、数量：一台。</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三、设备要求及用途：适用于通过测定、分析脉搏波传播速度(PWV),从而对动脉的弹性情况及动脉硬化程度等血管的相关功能作出客观评价。</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四、主要技术参数及要求：</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1、主要技术参数：</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1.1 PWV（脉搏波传导速度）。</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1.2 ABI（踝臂指数）。</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1.3 ASI（动脉硬化指数）。</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1.4 C1 （大动脉顺应性指数）。</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1.5 C2（小动脉顺应性指数）。</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1.6 SV（每搏心输出量）。</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1.7 CO （心输出量）。</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1.8 SVR（外周阻力）。</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1.9 ET（左心室收缩时间）。</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1.10 HR（心率），精确±3次/分。</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1.11四肢收缩压（SBP），精度±5%。</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1.12四肢舒张压（DBP），精度±5%。</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1.13四肢平均压（MAP），精度±5%。</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1.14四肢脉压（PP）。</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1.15 BMI（体重指数）。</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2、技术指标</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2.1检测原理：示波法、参数分析法、弹性腔理论法</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2.2 PWV、ABI、ASI、C1、C2五项动脉硬化参数综合反应动脉硬化程度</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2.3加压及放气方法：气泵全自动加压，全自动减压排气，断电后，自动安全放气；</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2.4系统自动维护功能：用户可自己进行气路气密性检测；</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2.5动脉硬化检测专用袖套：四肢专用袖套四肢同步进行信号采集和检测；</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2.6主机：Windows操作系统，中文界面，双核CPU，主频≥2.0GHz，≥ 2GB 内存，≥500GB高速硬盘;</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2.7显示部分：≥19英寸彩色高分辨率高亮液晶显示器；可360度旋转彩色液晶显示屏，方便测量操作。</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2.8多扩展性：完善的数据库系统，实现数据储存、病人病例资料历史数据追踪、数据备份，并可连接医院管理系统。</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2.9打印功能：A4打印报告，可实现集中检测，保存后批量打印报告。</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2.10检测报告：系统根据检测结果自动综合评估动脉硬化及硬化程度，给出临床参考综合建议。</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2.11数据查询功能：支持多种查询方式（姓名、ID、最近检测、日期、流水号）进行历史数据查询，可调阅各项检测参数，进行历史数据比对，客观分析弹性变化情况，为健康指导提供依据。</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2.12系统界面：中文操作界面。</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2.13检测时间：≤5分钟。</w:t>
      </w:r>
    </w:p>
    <w:p>
      <w:pPr>
        <w:autoSpaceDE w:val="0"/>
        <w:autoSpaceDN w:val="0"/>
        <w:adjustRightInd w:val="0"/>
        <w:snapToGrid w:val="0"/>
        <w:spacing w:line="360" w:lineRule="auto"/>
        <w:ind w:firstLine="470" w:firstLineChars="196"/>
        <w:rPr>
          <w:rFonts w:hint="eastAsia" w:ascii="宋体" w:hAnsi="宋体"/>
          <w:sz w:val="24"/>
        </w:rPr>
      </w:pPr>
    </w:p>
    <w:p>
      <w:pPr>
        <w:autoSpaceDE w:val="0"/>
        <w:autoSpaceDN w:val="0"/>
        <w:adjustRightInd w:val="0"/>
        <w:snapToGrid w:val="0"/>
        <w:spacing w:line="360" w:lineRule="auto"/>
        <w:ind w:firstLine="470" w:firstLineChars="196"/>
        <w:jc w:val="center"/>
        <w:rPr>
          <w:rFonts w:hint="eastAsia" w:ascii="宋体" w:hAnsi="宋体"/>
          <w:sz w:val="24"/>
        </w:rPr>
      </w:pPr>
      <w:r>
        <w:rPr>
          <w:rFonts w:hint="eastAsia" w:ascii="宋体" w:hAnsi="宋体"/>
          <w:sz w:val="24"/>
        </w:rPr>
        <w:t>肺功能检测仪技术参数及要求</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一、设备名称：肺功能检测仪</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二、数量：一台。</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三、设备要求及用途：适用于对成人或者儿童的肺功能参数进行测量，为临床诊断提供准确依据。</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四、主要技术参数及要求：</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1、测试项目：肺活量（VC），流速体积曲线（FV），用力肺活量（FVC），每分最大通气量（MVV）以及支气管扩张试验等。</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2、≥30个测量参数，且可根据用户需要增加测量参数：VC肺活量、ERV补呼气容积、IRV补吸气容积、TV潮气容积、IC深吸气量。</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3、MVV每分钟自助通气量、RR每分钟呼吸次数、TV（MVV过程）MVV测量下平均呼吸量。</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4、各项检测可反复进行，自动保留3次最佳测试结果。</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5、交直流两用，内置充电电池可单独使用4小时</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6、仪器可自动校准，使用操作简单易用。</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7、容量检测范围：0—8L，容量检测精度：±3％F•S。</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8、流量检测范围：0—±14L/s，流量检测精度：±5％F•S。</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9、品牌电脑（非组装机）商用计算机系统，≥2G内存，500G硬盘，≥19寸彩色液晶显示器，激光打印机1台。</w:t>
      </w:r>
    </w:p>
    <w:p>
      <w:pPr>
        <w:autoSpaceDE w:val="0"/>
        <w:autoSpaceDN w:val="0"/>
        <w:adjustRightInd w:val="0"/>
        <w:snapToGrid w:val="0"/>
        <w:spacing w:line="360" w:lineRule="auto"/>
        <w:ind w:firstLine="470" w:firstLineChars="196"/>
        <w:rPr>
          <w:rFonts w:hint="eastAsia" w:ascii="宋体" w:hAnsi="宋体"/>
          <w:sz w:val="24"/>
        </w:rPr>
      </w:pPr>
    </w:p>
    <w:p>
      <w:pPr>
        <w:autoSpaceDE w:val="0"/>
        <w:autoSpaceDN w:val="0"/>
        <w:adjustRightInd w:val="0"/>
        <w:snapToGrid w:val="0"/>
        <w:spacing w:line="360" w:lineRule="auto"/>
        <w:ind w:firstLine="470" w:firstLineChars="196"/>
        <w:rPr>
          <w:rFonts w:hint="eastAsia" w:ascii="宋体" w:hAnsi="宋体"/>
          <w:sz w:val="24"/>
        </w:rPr>
      </w:pPr>
    </w:p>
    <w:p>
      <w:pPr>
        <w:autoSpaceDE w:val="0"/>
        <w:autoSpaceDN w:val="0"/>
        <w:adjustRightInd w:val="0"/>
        <w:snapToGrid w:val="0"/>
        <w:spacing w:line="360" w:lineRule="auto"/>
        <w:ind w:firstLine="470" w:firstLineChars="196"/>
        <w:jc w:val="center"/>
        <w:rPr>
          <w:rFonts w:hint="eastAsia" w:ascii="宋体" w:hAnsi="宋体"/>
          <w:sz w:val="24"/>
        </w:rPr>
      </w:pPr>
      <w:r>
        <w:rPr>
          <w:rFonts w:hint="eastAsia" w:ascii="宋体" w:hAnsi="宋体"/>
          <w:sz w:val="24"/>
        </w:rPr>
        <w:t>精神压力分析仪技术参数及要求</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一、设备名称：精神压力分析仪。</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二、数量：一台。</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三、设备要求及用途：通过对HRV（心率变异性）等系列指标的检测、分析，评估机体的调节能力，观察体内外应激物的抵抗及适应能力，心理障碍疾病发病风险，使患者积极配合治疗及提高治未病的意识，自主神经异常的早期发现、早治疗的效果</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四、主要技术参数及要求：</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1、显示器：≥19英寸。</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2、采样频率：250Hz-500Hz。</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3、波特率：≥110000 ps。</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4、PPG传感器波长：红光660nm，红外光905nm</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5、脉率测量范围：（30bpm — 250bpm）±5%。</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6、测量时间及精度：5min±3s。</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7、检测原理：心率变异性（HRV)理论。</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8、时域分析：Mean HR、SDNN、RMSSD、PSI、ApEn、SRD。</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9、频域分析：TP、VLF、LF、HF、LF norm、HF norm、LF/HF ratio。</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10、具有自主神经系统功能测评：如自主神经系统活性，自主神经系统平衡以及自主神经系统稳定性等</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11、具有抗压能力测评：如压力指数，疲劳指数以及压力自动分析报表等。</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12、具有心率的定性分析功能：如平均心率，异常性心率以及心率变异报表等</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13、参数值：精神压力、疲劳度、抗压能力及压力指数、平均心率、心率稳定性、异常心博、自主神经活性和自主神经平衡性等。</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14、拥有中国人的数据库，自动生成彩色图文打印报告，可以设置用户图标和信息，可以根据需要自动生成各种统计报表。</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15、电源电压：AC 220V，50Hz。</w:t>
      </w:r>
    </w:p>
    <w:p>
      <w:pPr>
        <w:pStyle w:val="7"/>
        <w:snapToGrid w:val="0"/>
        <w:spacing w:line="340" w:lineRule="exact"/>
        <w:ind w:left="405" w:firstLine="0" w:firstLineChars="0"/>
        <w:jc w:val="left"/>
        <w:rPr>
          <w:rFonts w:hint="eastAsia" w:ascii="宋体" w:hAnsi="宋体"/>
          <w:b/>
          <w:bCs/>
          <w:sz w:val="28"/>
          <w:szCs w:val="28"/>
          <w:lang w:val="en-US" w:eastAsia="zh-CN"/>
        </w:rPr>
      </w:pPr>
      <w:r>
        <w:rPr>
          <w:rFonts w:hint="eastAsia" w:ascii="宋体" w:hAnsi="宋体"/>
          <w:b/>
          <w:bCs/>
          <w:sz w:val="28"/>
          <w:szCs w:val="28"/>
          <w:lang w:val="en-US" w:eastAsia="zh-CN"/>
        </w:rPr>
        <w:t>D包:</w:t>
      </w:r>
    </w:p>
    <w:p>
      <w:pPr>
        <w:autoSpaceDE w:val="0"/>
        <w:autoSpaceDN w:val="0"/>
        <w:adjustRightInd w:val="0"/>
        <w:snapToGrid w:val="0"/>
        <w:spacing w:line="360" w:lineRule="auto"/>
        <w:ind w:firstLine="470" w:firstLineChars="196"/>
        <w:jc w:val="center"/>
        <w:rPr>
          <w:rFonts w:hint="eastAsia" w:ascii="宋体" w:hAnsi="宋体"/>
          <w:sz w:val="24"/>
        </w:rPr>
      </w:pPr>
      <w:r>
        <w:rPr>
          <w:rFonts w:hint="eastAsia" w:ascii="宋体" w:hAnsi="宋体"/>
          <w:sz w:val="24"/>
        </w:rPr>
        <w:t>骨密度分析仪技术参数及要求</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一、设备名称：骨密度分析仪</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二、数量：一台。</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三、设备要求及用途：采用超声波检测足跟部位的骨密度值，为临床提供骨骼生理、病理以及骨骼代谢情况等诊断依据。</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四、主要技术参数及要求：</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1、超声波参数：BUA（多频率超声衰减）、 SOS（声速） OI（骨质疏松指数）。</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2、测量方式：全干式、双向超声波发射与接收。</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3、探头频率：0.5MHz±5%。</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4、带宽：50%。</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5、声速范围：1660m/s±1.0%。</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6、测量时间：10-15秒。</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7、主控增益：0-80dB。</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 xml:space="preserve">8、诊断参数：OI、T值、Z值、SOS、OPR、成人比及同龄比。                       </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9、测量复现性：不大于0.5% （提供检测报告）。</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10、测量精度：SOS ＞ 99.5%。</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11、超声波输出：LSPTP 1.8mW/cm。</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12、定标（校正）：标准模块自动定标。</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13、具有误差自动温度补偿系统。</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14、内置参考数据库：至少含有亚洲数据库。</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15、配置彩色打印机1台。</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16、病人数据管理系统：≥10000个病例。</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17、具备与足部直接接触自动调整探头测量间距功能。</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18、骨密度软件测试系统；成人/儿童骨密度测试软件，自动定位超声探头，自动搜索最佳信号，自动调节油囊压力检测装置。</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19. 探头；特制油囊探头，可永久使用。</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20、电源要求：AC  220V±10%，50/60Hz。</w:t>
      </w:r>
    </w:p>
    <w:p>
      <w:pPr>
        <w:autoSpaceDE w:val="0"/>
        <w:autoSpaceDN w:val="0"/>
        <w:adjustRightInd w:val="0"/>
        <w:snapToGrid w:val="0"/>
        <w:spacing w:line="360" w:lineRule="auto"/>
        <w:ind w:firstLine="470" w:firstLineChars="196"/>
        <w:rPr>
          <w:rFonts w:hint="eastAsia" w:ascii="宋体" w:hAnsi="宋体"/>
          <w:sz w:val="24"/>
        </w:rPr>
      </w:pPr>
    </w:p>
    <w:p>
      <w:pPr>
        <w:autoSpaceDE w:val="0"/>
        <w:autoSpaceDN w:val="0"/>
        <w:adjustRightInd w:val="0"/>
        <w:snapToGrid w:val="0"/>
        <w:spacing w:line="360" w:lineRule="auto"/>
        <w:ind w:firstLine="470" w:firstLineChars="196"/>
        <w:rPr>
          <w:rFonts w:hint="eastAsia" w:ascii="宋体" w:hAnsi="宋体"/>
          <w:sz w:val="24"/>
        </w:rPr>
      </w:pPr>
    </w:p>
    <w:p>
      <w:pPr>
        <w:autoSpaceDE w:val="0"/>
        <w:autoSpaceDN w:val="0"/>
        <w:adjustRightInd w:val="0"/>
        <w:snapToGrid w:val="0"/>
        <w:spacing w:line="360" w:lineRule="auto"/>
        <w:ind w:firstLine="470" w:firstLineChars="196"/>
        <w:jc w:val="center"/>
        <w:rPr>
          <w:rFonts w:hint="eastAsia" w:ascii="宋体" w:hAnsi="宋体"/>
          <w:sz w:val="24"/>
        </w:rPr>
      </w:pPr>
      <w:r>
        <w:rPr>
          <w:rFonts w:hint="eastAsia" w:ascii="宋体" w:hAnsi="宋体"/>
          <w:sz w:val="24"/>
        </w:rPr>
        <w:t>人体成分分析仪技术参数及要求</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一、设备名称：人体成分分析仪</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二、数量：一台。</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三、设备要求及用途：主要用于测出生物电阻抗，分析出水分、蛋白质、矿物质、脂肪在人体中所占的比例，得出的相关参考数值用于辅助诊断。</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四、主要技术参数及要求：</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1、测量方式：多频生物电阻抗分析法（BIA法）。</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2、电极：四极8点接触式电极。</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3、测量范围：20—1200欧。</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4、测量部位：全身，节段(左上肢，右上肢，左下肢，右下肢，躯干)。</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5、测量频率：1、5、50、250、500、1000 kHz。</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6、限定电流：≤ 350μA(RMS)。</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7、测量时间：50—70s。</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8、测量体重范围：5kg-250kg。</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9、测量项目：细胞内液，细胞外液，总水分，蛋白质，无机盐，体脂肪，体重，肌肉量，去脂体重，骨骼肌肉量，身体质量指数，体脂肪率，腰臀比，内脏脂肪面积，节段肌肉量，节段浮肿指数，体型判断，营养评估，肥胖评估，肌肉评估，标准体重，体重调节，脂肪控制，肌肉控制，基础代谢量，总能量消耗和总体评分等。</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10、检测人群：身高：90—220cm，年龄：5—99岁。</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11、显示器：≥10英寸液晶触摸屏，高分辨率≥1024×768，中文界面，Windows操作系统。</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12、输入设备：触摸屏，键盘，鼠标，U盘（将U盘内存储的受测者信息直接导入）。</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13、A4中文报告，提供成人/儿童专用打印报告。</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14、报告类型：人体成分报告，具备机器内置运动处方及营养处方。</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15、软件功能：快速测量模式、重量修正功能、内置语音导航功能、有云平台接口和云端服务支持以及手机APP支持功能。</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16、配备打印机1台。</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17、其它功能。数据存储功能：自动存储，可存储≥50万组测量数据；查询功能：在设备上直接进行多种数据查询（ID号、身高、体重、年龄、性别查询）；设备安全管理功能。</w:t>
      </w:r>
    </w:p>
    <w:p>
      <w:pPr>
        <w:pStyle w:val="7"/>
        <w:snapToGrid w:val="0"/>
        <w:spacing w:line="340" w:lineRule="exact"/>
        <w:ind w:left="405" w:firstLine="0" w:firstLineChars="0"/>
        <w:jc w:val="left"/>
        <w:rPr>
          <w:rFonts w:hint="eastAsia" w:ascii="宋体" w:hAnsi="宋体"/>
          <w:b/>
          <w:bCs/>
          <w:sz w:val="28"/>
          <w:szCs w:val="28"/>
          <w:lang w:val="en-US" w:eastAsia="zh-CN"/>
        </w:rPr>
      </w:pPr>
      <w:r>
        <w:rPr>
          <w:rFonts w:hint="eastAsia" w:ascii="宋体" w:hAnsi="宋体"/>
          <w:b/>
          <w:bCs/>
          <w:sz w:val="28"/>
          <w:szCs w:val="28"/>
          <w:lang w:val="en-US" w:eastAsia="zh-CN"/>
        </w:rPr>
        <w:t>E包:</w:t>
      </w:r>
    </w:p>
    <w:p>
      <w:pPr>
        <w:autoSpaceDE w:val="0"/>
        <w:autoSpaceDN w:val="0"/>
        <w:adjustRightInd w:val="0"/>
        <w:snapToGrid w:val="0"/>
        <w:spacing w:line="360" w:lineRule="auto"/>
        <w:ind w:firstLine="470" w:firstLineChars="196"/>
        <w:jc w:val="center"/>
        <w:rPr>
          <w:rFonts w:hint="eastAsia" w:ascii="宋体" w:hAnsi="宋体"/>
          <w:sz w:val="24"/>
        </w:rPr>
      </w:pPr>
      <w:r>
        <w:rPr>
          <w:rFonts w:hint="eastAsia" w:ascii="宋体" w:hAnsi="宋体"/>
          <w:sz w:val="24"/>
        </w:rPr>
        <w:t>电导分析仪技术参数及要求</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一、设备名称：电导分析仪。</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二、数量：一套。</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三、设备要求及用途：适用于糖尿病早期风险评估（包括胰岛素抵抗、糖耐量受损以及糖尿病并发症发病风险）进行检测和综合分析，根据评估体检者的综合情况，发现潜在的早期风险或病变。</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四、主要技术参数及要求：</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1、设备功能：自动检测、结果自动分析以及手动/自动打印报告；同一测试者不同时间的检测数据及图形可进行对比以及分析。</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2、检测原理：反向离子电渗法。</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3、检测方式：无创电极检测。</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4、检测结果：敏感性≥80%，特异性≥70%。</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5、检测指标：糖尿病发病风险、葡萄糖耐量受损风险、胰岛素抵抗风险以及糖尿病并发症发病风险等。</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6、控制系统配置：≥15英寸触摸显示屏，windows操作系统，中文界面，内存≥2G，硬盘≥320G，具备USB接口。可与医院信息化系统无缝连接。</w:t>
      </w:r>
    </w:p>
    <w:p>
      <w:pPr>
        <w:autoSpaceDE w:val="0"/>
        <w:autoSpaceDN w:val="0"/>
        <w:adjustRightInd w:val="0"/>
        <w:snapToGrid w:val="0"/>
        <w:spacing w:line="360" w:lineRule="auto"/>
        <w:ind w:firstLine="470" w:firstLineChars="196"/>
        <w:rPr>
          <w:rFonts w:hint="eastAsia" w:ascii="宋体" w:hAnsi="宋体"/>
          <w:sz w:val="24"/>
        </w:rPr>
      </w:pPr>
      <w:r>
        <w:rPr>
          <w:rFonts w:hint="eastAsia" w:ascii="宋体" w:hAnsi="宋体"/>
          <w:sz w:val="24"/>
        </w:rPr>
        <w:t>7、数据库和系统免费升级。</w:t>
      </w:r>
    </w:p>
    <w:p>
      <w:pPr>
        <w:autoSpaceDE w:val="0"/>
        <w:autoSpaceDN w:val="0"/>
        <w:adjustRightInd w:val="0"/>
        <w:snapToGrid w:val="0"/>
        <w:spacing w:line="360" w:lineRule="auto"/>
        <w:ind w:firstLine="470" w:firstLineChars="196"/>
        <w:rPr>
          <w:rFonts w:hint="eastAsia" w:ascii="宋体" w:hAnsi="宋体"/>
          <w:sz w:val="24"/>
          <w:highlight w:val="none"/>
        </w:rPr>
      </w:pPr>
      <w:r>
        <w:rPr>
          <w:rFonts w:hint="eastAsia" w:ascii="宋体" w:hAnsi="宋体"/>
          <w:sz w:val="24"/>
          <w:highlight w:val="none"/>
        </w:rPr>
        <w:t>8、电源电压：AC 220V，50/60Hz。</w:t>
      </w:r>
    </w:p>
    <w:p>
      <w:pPr>
        <w:spacing w:after="156" w:afterLines="50" w:line="520" w:lineRule="exact"/>
        <w:ind w:firstLine="3813" w:firstLineChars="1055"/>
        <w:rPr>
          <w:rFonts w:ascii="仿宋" w:hAnsi="仿宋" w:eastAsia="仿宋"/>
          <w:sz w:val="36"/>
          <w:szCs w:val="36"/>
          <w:highlight w:val="none"/>
        </w:rPr>
      </w:pPr>
      <w:r>
        <w:rPr>
          <w:rFonts w:hint="eastAsia" w:ascii="仿宋_GB2312" w:eastAsia="仿宋_GB2312"/>
          <w:b/>
          <w:color w:val="000000"/>
          <w:kern w:val="0"/>
          <w:sz w:val="36"/>
          <w:szCs w:val="36"/>
          <w:highlight w:val="none"/>
        </w:rPr>
        <w:t>总体要求：</w:t>
      </w:r>
    </w:p>
    <w:p>
      <w:pPr>
        <w:autoSpaceDE w:val="0"/>
        <w:autoSpaceDN w:val="0"/>
        <w:adjustRightInd w:val="0"/>
        <w:snapToGrid w:val="0"/>
        <w:spacing w:line="360" w:lineRule="auto"/>
        <w:ind w:firstLine="470" w:firstLineChars="196"/>
        <w:rPr>
          <w:rFonts w:hint="eastAsia" w:ascii="宋体" w:hAnsi="宋体"/>
          <w:sz w:val="24"/>
          <w:highlight w:val="none"/>
        </w:rPr>
      </w:pPr>
      <w:r>
        <w:rPr>
          <w:rFonts w:hint="eastAsia" w:ascii="宋体" w:hAnsi="宋体"/>
          <w:sz w:val="24"/>
          <w:highlight w:val="none"/>
        </w:rPr>
        <w:t>1、免费培训操作及维修人员，免费负责设备的安装及调试。</w:t>
      </w:r>
    </w:p>
    <w:p>
      <w:pPr>
        <w:autoSpaceDE w:val="0"/>
        <w:autoSpaceDN w:val="0"/>
        <w:adjustRightInd w:val="0"/>
        <w:snapToGrid w:val="0"/>
        <w:spacing w:line="360" w:lineRule="auto"/>
        <w:ind w:firstLine="470" w:firstLineChars="196"/>
        <w:rPr>
          <w:rFonts w:hint="eastAsia" w:ascii="宋体" w:hAnsi="宋体"/>
          <w:sz w:val="24"/>
          <w:highlight w:val="none"/>
        </w:rPr>
      </w:pPr>
      <w:r>
        <w:rPr>
          <w:rFonts w:hint="eastAsia" w:ascii="宋体" w:hAnsi="宋体"/>
          <w:sz w:val="24"/>
          <w:highlight w:val="none"/>
        </w:rPr>
        <w:t>2、公司信誉度高，具有完善的售后服务，设备出现故障, 接到通知后12小时内工程人员应到达现场。 </w:t>
      </w:r>
    </w:p>
    <w:p>
      <w:pPr>
        <w:autoSpaceDE w:val="0"/>
        <w:autoSpaceDN w:val="0"/>
        <w:adjustRightInd w:val="0"/>
        <w:snapToGrid w:val="0"/>
        <w:spacing w:line="360" w:lineRule="auto"/>
        <w:ind w:firstLine="470" w:firstLineChars="196"/>
        <w:rPr>
          <w:rFonts w:hint="eastAsia" w:ascii="宋体" w:hAnsi="宋体"/>
          <w:sz w:val="24"/>
          <w:highlight w:val="none"/>
        </w:rPr>
      </w:pPr>
      <w:r>
        <w:rPr>
          <w:rFonts w:hint="eastAsia" w:ascii="宋体" w:hAnsi="宋体"/>
          <w:sz w:val="24"/>
          <w:highlight w:val="none"/>
        </w:rPr>
        <w:t>3、提供设备使用说明书和维修指导说明书。 </w:t>
      </w:r>
    </w:p>
    <w:p>
      <w:pPr>
        <w:autoSpaceDE w:val="0"/>
        <w:autoSpaceDN w:val="0"/>
        <w:adjustRightInd w:val="0"/>
        <w:snapToGrid w:val="0"/>
        <w:spacing w:line="360" w:lineRule="auto"/>
        <w:ind w:firstLine="470" w:firstLineChars="196"/>
        <w:rPr>
          <w:rFonts w:hint="eastAsia" w:ascii="宋体" w:hAnsi="宋体"/>
          <w:sz w:val="24"/>
          <w:highlight w:val="none"/>
        </w:rPr>
      </w:pPr>
      <w:r>
        <w:rPr>
          <w:rFonts w:hint="eastAsia" w:ascii="宋体" w:hAnsi="宋体"/>
          <w:sz w:val="24"/>
          <w:highlight w:val="none"/>
        </w:rPr>
        <w:t>4、设备交付正常使用前所发生的所有费用均由公司承担。</w:t>
      </w:r>
    </w:p>
    <w:p>
      <w:pPr>
        <w:autoSpaceDE w:val="0"/>
        <w:autoSpaceDN w:val="0"/>
        <w:adjustRightInd w:val="0"/>
        <w:snapToGrid w:val="0"/>
        <w:spacing w:line="360" w:lineRule="auto"/>
        <w:ind w:firstLine="470" w:firstLineChars="196"/>
        <w:rPr>
          <w:rFonts w:hint="eastAsia" w:ascii="宋体" w:hAnsi="宋体"/>
          <w:sz w:val="24"/>
          <w:highlight w:val="none"/>
        </w:rPr>
      </w:pPr>
      <w:r>
        <w:rPr>
          <w:rFonts w:hint="eastAsia" w:ascii="宋体" w:hAnsi="宋体"/>
          <w:sz w:val="24"/>
          <w:highlight w:val="none"/>
        </w:rPr>
        <w:t>5、设备安装验收培训使用合格后，一个月付全款的70%，剩余30 %满一年付清。</w:t>
      </w:r>
    </w:p>
    <w:p>
      <w:pPr>
        <w:autoSpaceDE w:val="0"/>
        <w:autoSpaceDN w:val="0"/>
        <w:adjustRightInd w:val="0"/>
        <w:snapToGrid w:val="0"/>
        <w:spacing w:line="360" w:lineRule="auto"/>
        <w:ind w:firstLine="470" w:firstLineChars="196"/>
        <w:rPr>
          <w:rFonts w:hint="eastAsia" w:ascii="宋体" w:hAnsi="宋体"/>
          <w:sz w:val="24"/>
          <w:highlight w:val="none"/>
        </w:rPr>
      </w:pPr>
      <w:r>
        <w:rPr>
          <w:rFonts w:hint="eastAsia" w:ascii="宋体" w:hAnsi="宋体"/>
          <w:sz w:val="24"/>
          <w:highlight w:val="none"/>
        </w:rPr>
        <w:t>6、全部设备保修期：≥1年。</w:t>
      </w:r>
    </w:p>
    <w:p>
      <w:pPr>
        <w:spacing w:line="520" w:lineRule="exact"/>
        <w:ind w:left="-2" w:leftChars="-1" w:firstLine="588" w:firstLineChars="196"/>
        <w:rPr>
          <w:rFonts w:hint="eastAsia" w:ascii="仿宋_GB2312" w:hAnsi="宋体" w:eastAsia="仿宋_GB2312"/>
          <w:sz w:val="30"/>
          <w:szCs w:val="30"/>
          <w:highlight w:val="none"/>
        </w:rPr>
      </w:pPr>
    </w:p>
    <w:p>
      <w:pPr>
        <w:autoSpaceDE w:val="0"/>
        <w:autoSpaceDN w:val="0"/>
        <w:adjustRightInd w:val="0"/>
        <w:snapToGrid w:val="0"/>
        <w:spacing w:line="360" w:lineRule="auto"/>
        <w:ind w:firstLine="472" w:firstLineChars="196"/>
        <w:rPr>
          <w:rFonts w:hint="eastAsia" w:ascii="宋体" w:cs="宋体"/>
          <w:b/>
          <w:sz w:val="24"/>
          <w:lang w:val="zh-CN"/>
        </w:rPr>
      </w:pPr>
      <w:r>
        <w:rPr>
          <w:rFonts w:hint="eastAsia" w:ascii="宋体" w:hAnsi="宋体"/>
          <w:b/>
          <w:sz w:val="24"/>
          <w:lang w:eastAsia="zh-CN"/>
        </w:rPr>
        <w:t>（四）</w:t>
      </w:r>
      <w:r>
        <w:rPr>
          <w:rFonts w:hint="eastAsia" w:ascii="宋体" w:cs="宋体"/>
          <w:b/>
          <w:sz w:val="24"/>
          <w:lang w:val="zh-CN"/>
        </w:rPr>
        <w:t>其它要求</w:t>
      </w:r>
    </w:p>
    <w:p>
      <w:pPr>
        <w:autoSpaceDE w:val="0"/>
        <w:autoSpaceDN w:val="0"/>
        <w:adjustRightInd w:val="0"/>
        <w:snapToGrid w:val="0"/>
        <w:spacing w:line="360" w:lineRule="auto"/>
        <w:ind w:firstLine="480" w:firstLineChars="200"/>
        <w:rPr>
          <w:rFonts w:hint="eastAsia" w:ascii="宋体" w:hAnsi="宋体"/>
          <w:b/>
          <w:bCs/>
          <w:sz w:val="24"/>
        </w:rPr>
      </w:pPr>
      <w:r>
        <w:rPr>
          <w:rFonts w:hint="eastAsia" w:ascii="宋体" w:cs="宋体"/>
          <w:sz w:val="24"/>
          <w:lang w:val="zh-CN"/>
        </w:rPr>
        <w:t>1、投标人须明确投标产品的厂家、产地、品牌、型号、详细参数，</w:t>
      </w:r>
      <w:r>
        <w:rPr>
          <w:rFonts w:hint="eastAsia" w:ascii="宋体" w:cs="宋体"/>
          <w:b/>
          <w:sz w:val="24"/>
          <w:lang w:val="zh-CN"/>
        </w:rPr>
        <w:t>否则为无效投标</w:t>
      </w:r>
      <w:r>
        <w:rPr>
          <w:rFonts w:hint="eastAsia" w:ascii="宋体" w:cs="宋体"/>
          <w:sz w:val="24"/>
          <w:lang w:val="zh-CN"/>
        </w:rPr>
        <w:t>。如果投标人仅复制招标文件的技术指标作为投标指标，不能提供相应技术材料以证明投标设备符合招标文件技术要求，其投标将视为非实质性响应，而被拒绝。</w:t>
      </w:r>
    </w:p>
    <w:p>
      <w:pPr>
        <w:autoSpaceDE w:val="0"/>
        <w:autoSpaceDN w:val="0"/>
        <w:adjustRightInd w:val="0"/>
        <w:snapToGrid w:val="0"/>
        <w:spacing w:line="360" w:lineRule="auto"/>
        <w:ind w:firstLine="480" w:firstLineChars="200"/>
        <w:rPr>
          <w:rFonts w:ascii="宋体" w:cs="宋体"/>
          <w:sz w:val="24"/>
          <w:lang w:val="zh-CN"/>
        </w:rPr>
      </w:pPr>
      <w:r>
        <w:rPr>
          <w:rFonts w:hint="eastAsia" w:ascii="宋体" w:cs="宋体"/>
          <w:sz w:val="24"/>
          <w:lang w:val="zh-CN"/>
        </w:rPr>
        <w:t>2、设备必须符合国家质量检测标准和本招标文件规定标准的全新正品现货，提供随货物《产品合格证》及其它相关质量、技术及技术证明文件；进口产品须提供海关进货单（复印件备查）。投标文件中须提供货物需求中产品厂家技术证明文件并加盖生产厂家公章，</w:t>
      </w:r>
      <w:r>
        <w:rPr>
          <w:rFonts w:hint="eastAsia" w:ascii="宋体" w:cs="宋体"/>
          <w:b/>
          <w:sz w:val="24"/>
          <w:lang w:val="zh-CN"/>
        </w:rPr>
        <w:t>否则为无效投标</w:t>
      </w:r>
      <w:r>
        <w:rPr>
          <w:rFonts w:hint="eastAsia" w:ascii="宋体" w:cs="宋体"/>
          <w:sz w:val="24"/>
          <w:lang w:val="zh-CN"/>
        </w:rPr>
        <w:t>。</w:t>
      </w:r>
    </w:p>
    <w:p>
      <w:pPr>
        <w:autoSpaceDE w:val="0"/>
        <w:autoSpaceDN w:val="0"/>
        <w:adjustRightInd w:val="0"/>
        <w:snapToGrid w:val="0"/>
        <w:spacing w:line="360" w:lineRule="auto"/>
        <w:ind w:firstLine="480" w:firstLineChars="200"/>
        <w:rPr>
          <w:rFonts w:hint="eastAsia" w:ascii="宋体" w:cs="宋体"/>
          <w:sz w:val="24"/>
          <w:lang w:val="zh-CN"/>
        </w:rPr>
      </w:pPr>
      <w:r>
        <w:rPr>
          <w:rFonts w:hint="eastAsia" w:ascii="宋体" w:cs="宋体"/>
          <w:sz w:val="24"/>
          <w:lang w:val="zh-CN"/>
        </w:rPr>
        <w:t>2</w:t>
      </w:r>
      <w:r>
        <w:rPr>
          <w:rFonts w:ascii="宋体" w:cs="宋体"/>
          <w:sz w:val="24"/>
          <w:lang w:val="zh-CN"/>
        </w:rPr>
        <w:t>.1</w:t>
      </w:r>
      <w:r>
        <w:rPr>
          <w:rFonts w:hint="eastAsia" w:ascii="宋体" w:cs="宋体"/>
          <w:sz w:val="24"/>
          <w:lang w:val="zh-CN"/>
        </w:rPr>
        <w:t>、货物技术证明文件：</w:t>
      </w:r>
    </w:p>
    <w:p>
      <w:pPr>
        <w:autoSpaceDE w:val="0"/>
        <w:autoSpaceDN w:val="0"/>
        <w:adjustRightInd w:val="0"/>
        <w:snapToGrid w:val="0"/>
        <w:spacing w:line="360" w:lineRule="auto"/>
        <w:ind w:firstLine="480" w:firstLineChars="200"/>
        <w:rPr>
          <w:rFonts w:hint="eastAsia" w:ascii="宋体" w:cs="宋体"/>
          <w:sz w:val="24"/>
          <w:lang w:val="zh-CN"/>
        </w:rPr>
      </w:pPr>
      <w:r>
        <w:rPr>
          <w:rFonts w:hint="eastAsia" w:ascii="宋体" w:cs="宋体"/>
          <w:sz w:val="24"/>
          <w:lang w:val="zh-CN"/>
        </w:rPr>
        <w:t>2</w:t>
      </w:r>
      <w:r>
        <w:rPr>
          <w:rFonts w:ascii="宋体" w:cs="宋体"/>
          <w:sz w:val="24"/>
          <w:lang w:val="zh-CN"/>
        </w:rPr>
        <w:t>.1.</w:t>
      </w:r>
      <w:r>
        <w:rPr>
          <w:rFonts w:hint="eastAsia" w:ascii="宋体" w:cs="宋体"/>
          <w:sz w:val="24"/>
          <w:lang w:val="zh-CN"/>
        </w:rPr>
        <w:t>1、货物功能性能详细介绍；</w:t>
      </w:r>
    </w:p>
    <w:p>
      <w:pPr>
        <w:autoSpaceDE w:val="0"/>
        <w:autoSpaceDN w:val="0"/>
        <w:adjustRightInd w:val="0"/>
        <w:snapToGrid w:val="0"/>
        <w:spacing w:line="360" w:lineRule="auto"/>
        <w:ind w:firstLine="480" w:firstLineChars="200"/>
        <w:rPr>
          <w:rFonts w:hint="eastAsia" w:ascii="宋体" w:cs="宋体"/>
          <w:sz w:val="24"/>
          <w:lang w:val="zh-CN"/>
        </w:rPr>
      </w:pPr>
      <w:r>
        <w:rPr>
          <w:rFonts w:hint="eastAsia" w:ascii="宋体" w:cs="宋体"/>
          <w:sz w:val="24"/>
          <w:lang w:val="zh-CN"/>
        </w:rPr>
        <w:t>2</w:t>
      </w:r>
      <w:r>
        <w:rPr>
          <w:rFonts w:ascii="宋体" w:cs="宋体"/>
          <w:sz w:val="24"/>
          <w:lang w:val="zh-CN"/>
        </w:rPr>
        <w:t>.1.</w:t>
      </w:r>
      <w:r>
        <w:rPr>
          <w:rFonts w:hint="eastAsia" w:ascii="宋体" w:cs="宋体"/>
          <w:sz w:val="24"/>
          <w:lang w:val="zh-CN"/>
        </w:rPr>
        <w:t>2、投标人所投产品必须具备国家规定的资格，需提供下列证件（如有）：</w:t>
      </w:r>
    </w:p>
    <w:p>
      <w:pPr>
        <w:autoSpaceDE w:val="0"/>
        <w:autoSpaceDN w:val="0"/>
        <w:adjustRightInd w:val="0"/>
        <w:snapToGrid w:val="0"/>
        <w:spacing w:line="360" w:lineRule="auto"/>
        <w:ind w:firstLine="480" w:firstLineChars="200"/>
        <w:rPr>
          <w:rFonts w:hint="eastAsia" w:ascii="宋体" w:cs="宋体"/>
          <w:sz w:val="24"/>
          <w:lang w:val="zh-CN"/>
        </w:rPr>
      </w:pPr>
      <w:r>
        <w:rPr>
          <w:rFonts w:hint="eastAsia" w:ascii="宋体" w:cs="宋体"/>
          <w:sz w:val="24"/>
          <w:lang w:val="zh-CN"/>
        </w:rPr>
        <w:t>医疗器械注册证、注册表、生产许可证（国产）、经营许可证、准产注册检验报告（国产）、注册检验报告（进口）、中国国家强制性产品认证（CCC）或SDA认证等复印件。</w:t>
      </w:r>
    </w:p>
    <w:p>
      <w:pPr>
        <w:autoSpaceDE w:val="0"/>
        <w:autoSpaceDN w:val="0"/>
        <w:adjustRightInd w:val="0"/>
        <w:snapToGrid w:val="0"/>
        <w:spacing w:line="360" w:lineRule="auto"/>
        <w:ind w:firstLine="480" w:firstLineChars="200"/>
        <w:rPr>
          <w:rFonts w:ascii="宋体" w:cs="宋体"/>
          <w:sz w:val="24"/>
          <w:lang w:val="zh-CN"/>
        </w:rPr>
      </w:pPr>
      <w:r>
        <w:rPr>
          <w:rFonts w:hint="eastAsia" w:ascii="宋体" w:cs="宋体"/>
          <w:sz w:val="24"/>
          <w:lang w:val="zh-CN"/>
        </w:rPr>
        <w:t>2</w:t>
      </w:r>
      <w:r>
        <w:rPr>
          <w:rFonts w:ascii="宋体" w:cs="宋体"/>
          <w:sz w:val="24"/>
          <w:lang w:val="zh-CN"/>
        </w:rPr>
        <w:t>.1.</w:t>
      </w:r>
      <w:r>
        <w:rPr>
          <w:rFonts w:hint="eastAsia" w:ascii="宋体" w:cs="宋体"/>
          <w:sz w:val="24"/>
          <w:lang w:val="zh-CN"/>
        </w:rPr>
        <w:t>3、提供原始的详细描述货物性能特点的技术文件（产品准产/注册检验报告）及产品彩页并以技术文件、产品检验报告及彩页所述功能参数为评判标准；如投标文件所述产品功能参数与产品检验报告、产品彩页不一致，务必在投标文件上附带原始生产厂商出具证明函（原件）同时有国家法定机构出具的准产/注册检验报告或补充检验报告证明。</w:t>
      </w:r>
    </w:p>
    <w:p>
      <w:pPr>
        <w:autoSpaceDE w:val="0"/>
        <w:autoSpaceDN w:val="0"/>
        <w:adjustRightInd w:val="0"/>
        <w:snapToGrid w:val="0"/>
        <w:spacing w:line="360" w:lineRule="auto"/>
        <w:ind w:firstLine="480" w:firstLineChars="200"/>
        <w:rPr>
          <w:rFonts w:hint="eastAsia" w:ascii="宋体" w:cs="宋体"/>
          <w:sz w:val="24"/>
          <w:lang w:val="zh-CN"/>
        </w:rPr>
      </w:pPr>
      <w:r>
        <w:rPr>
          <w:rFonts w:hint="eastAsia" w:ascii="宋体" w:cs="宋体"/>
          <w:sz w:val="24"/>
          <w:lang w:val="zh-CN"/>
        </w:rPr>
        <w:t>2.2货物技术文件：</w:t>
      </w:r>
    </w:p>
    <w:p>
      <w:pPr>
        <w:autoSpaceDE w:val="0"/>
        <w:autoSpaceDN w:val="0"/>
        <w:adjustRightInd w:val="0"/>
        <w:snapToGrid w:val="0"/>
        <w:spacing w:line="360" w:lineRule="auto"/>
        <w:ind w:firstLine="480" w:firstLineChars="200"/>
        <w:rPr>
          <w:rFonts w:hint="eastAsia" w:ascii="宋体" w:cs="宋体"/>
          <w:sz w:val="24"/>
          <w:lang w:val="zh-CN"/>
        </w:rPr>
      </w:pPr>
      <w:r>
        <w:rPr>
          <w:rFonts w:hint="eastAsia" w:ascii="宋体" w:cs="宋体"/>
          <w:sz w:val="24"/>
          <w:lang w:val="zh-CN"/>
        </w:rPr>
        <w:t>2</w:t>
      </w:r>
      <w:r>
        <w:rPr>
          <w:rFonts w:ascii="宋体" w:cs="宋体"/>
          <w:sz w:val="24"/>
          <w:lang w:val="zh-CN"/>
        </w:rPr>
        <w:t>.2.</w:t>
      </w:r>
      <w:r>
        <w:rPr>
          <w:rFonts w:hint="eastAsia" w:ascii="宋体" w:cs="宋体"/>
          <w:sz w:val="24"/>
          <w:lang w:val="zh-CN"/>
        </w:rPr>
        <w:t>1、所投设备均应提供配置明细表并且配置明细表中的所有配件必须是唯一的，不得有选择性配置，所提供配件必须是正规厂家生产的原装正品；</w:t>
      </w:r>
    </w:p>
    <w:p>
      <w:pPr>
        <w:autoSpaceDE w:val="0"/>
        <w:autoSpaceDN w:val="0"/>
        <w:adjustRightInd w:val="0"/>
        <w:snapToGrid w:val="0"/>
        <w:spacing w:line="360" w:lineRule="auto"/>
        <w:ind w:firstLine="480" w:firstLineChars="200"/>
        <w:rPr>
          <w:rFonts w:hint="eastAsia" w:ascii="宋体" w:cs="宋体"/>
          <w:sz w:val="24"/>
          <w:lang w:val="zh-CN"/>
        </w:rPr>
      </w:pPr>
      <w:r>
        <w:rPr>
          <w:rFonts w:hint="eastAsia" w:ascii="宋体" w:cs="宋体"/>
          <w:sz w:val="24"/>
          <w:lang w:val="zh-CN"/>
        </w:rPr>
        <w:t>2</w:t>
      </w:r>
      <w:r>
        <w:rPr>
          <w:rFonts w:ascii="宋体" w:cs="宋体"/>
          <w:sz w:val="24"/>
          <w:lang w:val="zh-CN"/>
        </w:rPr>
        <w:t>.2.</w:t>
      </w:r>
      <w:r>
        <w:rPr>
          <w:rFonts w:hint="eastAsia" w:ascii="宋体" w:cs="宋体"/>
          <w:sz w:val="24"/>
          <w:lang w:val="zh-CN"/>
        </w:rPr>
        <w:t>2、产品需有生产许可证、注册证，经营许可证、产品合格证；</w:t>
      </w:r>
    </w:p>
    <w:p>
      <w:pPr>
        <w:autoSpaceDE w:val="0"/>
        <w:autoSpaceDN w:val="0"/>
        <w:adjustRightInd w:val="0"/>
        <w:snapToGrid w:val="0"/>
        <w:spacing w:line="360" w:lineRule="auto"/>
        <w:ind w:firstLine="480" w:firstLineChars="200"/>
        <w:rPr>
          <w:rFonts w:hint="eastAsia" w:ascii="宋体" w:cs="宋体"/>
          <w:sz w:val="24"/>
          <w:lang w:val="zh-CN"/>
        </w:rPr>
      </w:pPr>
      <w:r>
        <w:rPr>
          <w:rFonts w:hint="eastAsia" w:ascii="宋体" w:cs="宋体"/>
          <w:sz w:val="24"/>
          <w:lang w:val="zh-CN"/>
        </w:rPr>
        <w:t>2</w:t>
      </w:r>
      <w:r>
        <w:rPr>
          <w:rFonts w:ascii="宋体" w:cs="宋体"/>
          <w:sz w:val="24"/>
          <w:lang w:val="zh-CN"/>
        </w:rPr>
        <w:t>.2.</w:t>
      </w:r>
      <w:r>
        <w:rPr>
          <w:rFonts w:hint="eastAsia" w:ascii="宋体" w:cs="宋体"/>
          <w:sz w:val="24"/>
          <w:lang w:val="zh-CN"/>
        </w:rPr>
        <w:t>3、提供有关投标货物符合招标文件要求的相关证明文件；</w:t>
      </w:r>
    </w:p>
    <w:p>
      <w:pPr>
        <w:autoSpaceDE w:val="0"/>
        <w:autoSpaceDN w:val="0"/>
        <w:adjustRightInd w:val="0"/>
        <w:snapToGrid w:val="0"/>
        <w:spacing w:line="360" w:lineRule="auto"/>
        <w:ind w:firstLine="480" w:firstLineChars="200"/>
        <w:rPr>
          <w:rFonts w:hint="eastAsia" w:ascii="宋体" w:cs="宋体"/>
          <w:sz w:val="24"/>
          <w:lang w:val="zh-CN"/>
        </w:rPr>
      </w:pPr>
      <w:r>
        <w:rPr>
          <w:rFonts w:hint="eastAsia" w:ascii="宋体" w:cs="宋体"/>
          <w:sz w:val="24"/>
          <w:lang w:val="zh-CN"/>
        </w:rPr>
        <w:t>2</w:t>
      </w:r>
      <w:r>
        <w:rPr>
          <w:rFonts w:ascii="宋体" w:cs="宋体"/>
          <w:sz w:val="24"/>
          <w:lang w:val="zh-CN"/>
        </w:rPr>
        <w:t>.2.</w:t>
      </w:r>
      <w:r>
        <w:rPr>
          <w:rFonts w:hint="eastAsia" w:ascii="宋体" w:cs="宋体"/>
          <w:sz w:val="24"/>
          <w:lang w:val="zh-CN"/>
        </w:rPr>
        <w:t>4、投标货物的制造、安装和检验标准；</w:t>
      </w:r>
    </w:p>
    <w:p>
      <w:pPr>
        <w:autoSpaceDE w:val="0"/>
        <w:autoSpaceDN w:val="0"/>
        <w:adjustRightInd w:val="0"/>
        <w:snapToGrid w:val="0"/>
        <w:spacing w:line="360" w:lineRule="auto"/>
        <w:ind w:firstLine="480" w:firstLineChars="200"/>
        <w:rPr>
          <w:rFonts w:hint="eastAsia" w:ascii="宋体" w:cs="宋体"/>
          <w:sz w:val="24"/>
          <w:lang w:val="zh-CN"/>
        </w:rPr>
      </w:pPr>
      <w:r>
        <w:rPr>
          <w:rFonts w:hint="eastAsia" w:ascii="宋体" w:cs="宋体"/>
          <w:sz w:val="24"/>
          <w:lang w:val="zh-CN"/>
        </w:rPr>
        <w:t>2</w:t>
      </w:r>
      <w:r>
        <w:rPr>
          <w:rFonts w:ascii="宋体" w:cs="宋体"/>
          <w:sz w:val="24"/>
          <w:lang w:val="zh-CN"/>
        </w:rPr>
        <w:t>.2.</w:t>
      </w:r>
      <w:r>
        <w:rPr>
          <w:rFonts w:hint="eastAsia" w:ascii="宋体" w:cs="宋体"/>
          <w:sz w:val="24"/>
          <w:lang w:val="zh-CN"/>
        </w:rPr>
        <w:t>5、投标人需出具制造厂家承认的售后服务承诺、收费标准；</w:t>
      </w:r>
    </w:p>
    <w:p>
      <w:pPr>
        <w:autoSpaceDE w:val="0"/>
        <w:autoSpaceDN w:val="0"/>
        <w:adjustRightInd w:val="0"/>
        <w:snapToGrid w:val="0"/>
        <w:spacing w:line="360" w:lineRule="auto"/>
        <w:ind w:firstLine="480" w:firstLineChars="200"/>
        <w:rPr>
          <w:rFonts w:hint="eastAsia" w:ascii="宋体" w:cs="宋体"/>
          <w:sz w:val="24"/>
          <w:lang w:val="zh-CN"/>
        </w:rPr>
      </w:pPr>
      <w:r>
        <w:rPr>
          <w:rFonts w:hint="eastAsia" w:ascii="宋体" w:cs="宋体"/>
          <w:sz w:val="24"/>
          <w:lang w:val="zh-CN"/>
        </w:rPr>
        <w:t>2</w:t>
      </w:r>
      <w:r>
        <w:rPr>
          <w:rFonts w:ascii="宋体" w:cs="宋体"/>
          <w:sz w:val="24"/>
          <w:lang w:val="zh-CN"/>
        </w:rPr>
        <w:t>.2.</w:t>
      </w:r>
      <w:r>
        <w:rPr>
          <w:rFonts w:hint="eastAsia" w:ascii="宋体" w:cs="宋体"/>
          <w:sz w:val="24"/>
          <w:lang w:val="zh-CN"/>
        </w:rPr>
        <w:t>6、按技术规格规定提供备件和专用工具，其价格包括在投标报价中。但用户的这项选择并不能免除中标方在合同保证期内所承担的义务。</w:t>
      </w:r>
    </w:p>
    <w:p>
      <w:pPr>
        <w:autoSpaceDE w:val="0"/>
        <w:autoSpaceDN w:val="0"/>
        <w:adjustRightInd w:val="0"/>
        <w:snapToGrid w:val="0"/>
        <w:spacing w:line="360" w:lineRule="auto"/>
        <w:ind w:firstLine="480" w:firstLineChars="200"/>
        <w:rPr>
          <w:rFonts w:hint="eastAsia" w:ascii="宋体" w:cs="宋体"/>
          <w:sz w:val="24"/>
          <w:lang w:val="zh-CN"/>
        </w:rPr>
      </w:pPr>
      <w:r>
        <w:rPr>
          <w:rFonts w:hint="eastAsia" w:ascii="宋体" w:cs="宋体"/>
          <w:sz w:val="24"/>
          <w:lang w:val="zh-CN"/>
        </w:rPr>
        <w:t>3、专利权：投标人应保证用户在使用该货物或其任何一部分时不受第三方提出侵犯其专利权、商标权和工业设计权等的起诉。</w:t>
      </w:r>
    </w:p>
    <w:p>
      <w:pPr>
        <w:autoSpaceDE w:val="0"/>
        <w:autoSpaceDN w:val="0"/>
        <w:adjustRightInd w:val="0"/>
        <w:snapToGrid w:val="0"/>
        <w:spacing w:line="360" w:lineRule="auto"/>
        <w:ind w:firstLine="480" w:firstLineChars="200"/>
        <w:rPr>
          <w:rFonts w:hint="eastAsia" w:ascii="宋体" w:cs="宋体"/>
          <w:sz w:val="24"/>
          <w:lang w:val="zh-CN"/>
        </w:rPr>
      </w:pPr>
      <w:r>
        <w:rPr>
          <w:rFonts w:hint="eastAsia" w:ascii="宋体" w:cs="宋体"/>
          <w:sz w:val="24"/>
          <w:lang w:val="zh-CN"/>
        </w:rPr>
        <w:t>4、提供设备使用说明书、维修指导说明书以及部分维修密码。</w:t>
      </w:r>
    </w:p>
    <w:p>
      <w:pPr>
        <w:autoSpaceDE w:val="0"/>
        <w:autoSpaceDN w:val="0"/>
        <w:adjustRightInd w:val="0"/>
        <w:snapToGrid w:val="0"/>
        <w:spacing w:line="360" w:lineRule="auto"/>
        <w:ind w:firstLine="480" w:firstLineChars="200"/>
        <w:rPr>
          <w:rFonts w:ascii="宋体" w:cs="宋体"/>
          <w:sz w:val="24"/>
          <w:lang w:val="zh-CN"/>
        </w:rPr>
      </w:pPr>
      <w:r>
        <w:rPr>
          <w:rFonts w:hint="eastAsia" w:ascii="宋体" w:cs="宋体"/>
          <w:sz w:val="24"/>
          <w:lang w:val="zh-CN"/>
        </w:rPr>
        <w:t>5、公司信誉度高，具有完善的售后服务，设备出现故障, 接到通知后</w:t>
      </w:r>
      <w:r>
        <w:rPr>
          <w:rFonts w:ascii="宋体" w:cs="宋体"/>
          <w:sz w:val="24"/>
          <w:lang w:val="zh-CN"/>
        </w:rPr>
        <w:t>2</w:t>
      </w:r>
      <w:r>
        <w:rPr>
          <w:rFonts w:hint="eastAsia" w:ascii="宋体" w:cs="宋体"/>
          <w:sz w:val="24"/>
          <w:lang w:val="en-US" w:eastAsia="zh-CN"/>
        </w:rPr>
        <w:t>4</w:t>
      </w:r>
      <w:r>
        <w:rPr>
          <w:rFonts w:hint="eastAsia" w:ascii="宋体" w:cs="宋体"/>
          <w:sz w:val="24"/>
          <w:lang w:val="zh-CN"/>
        </w:rPr>
        <w:t>小时内工程人员应到达现场。免费培训操作及维修人员，免费负责设备的安装及调试。质量保修期：</w:t>
      </w:r>
      <w:r>
        <w:rPr>
          <w:rFonts w:hint="eastAsia" w:ascii="宋体" w:cs="宋体"/>
          <w:color w:val="auto"/>
          <w:sz w:val="24"/>
          <w:highlight w:val="none"/>
          <w:lang w:val="zh-CN"/>
        </w:rPr>
        <w:t>全部设备免费保修期≥</w:t>
      </w:r>
      <w:r>
        <w:rPr>
          <w:rFonts w:hint="eastAsia" w:ascii="宋体" w:cs="宋体"/>
          <w:color w:val="auto"/>
          <w:sz w:val="24"/>
          <w:highlight w:val="none"/>
          <w:lang w:val="en-US" w:eastAsia="zh-CN"/>
        </w:rPr>
        <w:t>1</w:t>
      </w:r>
      <w:r>
        <w:rPr>
          <w:rFonts w:hint="eastAsia" w:ascii="宋体" w:cs="宋体"/>
          <w:color w:val="auto"/>
          <w:sz w:val="24"/>
          <w:highlight w:val="none"/>
          <w:lang w:val="zh-CN"/>
        </w:rPr>
        <w:t>年</w:t>
      </w:r>
      <w:r>
        <w:rPr>
          <w:rFonts w:hint="eastAsia" w:ascii="宋体" w:cs="宋体"/>
          <w:sz w:val="24"/>
          <w:lang w:val="zh-CN"/>
        </w:rPr>
        <w:t>（以采购单位实际要求为准）。各包有特殊要求的，以其技术参数要求为准。</w:t>
      </w:r>
      <w:r>
        <w:rPr>
          <w:rFonts w:hint="eastAsia" w:ascii="宋体" w:cs="宋体"/>
          <w:b/>
          <w:sz w:val="24"/>
          <w:lang w:val="zh-CN"/>
        </w:rPr>
        <w:t>不响应者为无效投标。</w:t>
      </w:r>
    </w:p>
    <w:p>
      <w:pPr>
        <w:autoSpaceDE w:val="0"/>
        <w:autoSpaceDN w:val="0"/>
        <w:adjustRightInd w:val="0"/>
        <w:snapToGrid w:val="0"/>
        <w:spacing w:line="360" w:lineRule="auto"/>
        <w:ind w:firstLine="480" w:firstLineChars="200"/>
        <w:rPr>
          <w:rFonts w:ascii="宋体" w:cs="宋体"/>
          <w:sz w:val="24"/>
          <w:lang w:val="zh-CN"/>
        </w:rPr>
      </w:pPr>
      <w:r>
        <w:rPr>
          <w:rFonts w:hint="eastAsia" w:ascii="宋体" w:cs="宋体"/>
          <w:sz w:val="24"/>
          <w:lang w:val="zh-CN"/>
        </w:rPr>
        <w:t>6.1、保质期内外运行所需的随机备件、备品备件和易损件，应详细列出名称、规格、数量及单价。</w:t>
      </w:r>
    </w:p>
    <w:p>
      <w:pPr>
        <w:autoSpaceDE w:val="0"/>
        <w:autoSpaceDN w:val="0"/>
        <w:adjustRightInd w:val="0"/>
        <w:snapToGrid w:val="0"/>
        <w:spacing w:line="360" w:lineRule="auto"/>
        <w:ind w:firstLine="480" w:firstLineChars="200"/>
        <w:rPr>
          <w:rFonts w:ascii="宋体" w:cs="宋体"/>
          <w:sz w:val="24"/>
          <w:lang w:val="zh-CN"/>
        </w:rPr>
      </w:pPr>
      <w:r>
        <w:rPr>
          <w:rFonts w:hint="eastAsia" w:ascii="宋体" w:cs="宋体"/>
          <w:sz w:val="24"/>
          <w:lang w:val="zh-CN"/>
        </w:rPr>
        <w:t>6.2、投标人在用户所在地设有维修中心的，应提供中心的地址、电话、联系人姓名；如在用户所在地没有维修中心，则提供负责该地维修事宜的维修点的名称、地址、电话、传真和邮编；</w:t>
      </w:r>
    </w:p>
    <w:p>
      <w:pPr>
        <w:autoSpaceDE w:val="0"/>
        <w:autoSpaceDN w:val="0"/>
        <w:adjustRightInd w:val="0"/>
        <w:snapToGrid w:val="0"/>
        <w:spacing w:line="360" w:lineRule="auto"/>
        <w:ind w:firstLine="480" w:firstLineChars="200"/>
        <w:rPr>
          <w:rFonts w:hint="eastAsia" w:ascii="宋体" w:cs="宋体"/>
          <w:sz w:val="24"/>
          <w:lang w:val="zh-CN"/>
        </w:rPr>
      </w:pPr>
      <w:r>
        <w:rPr>
          <w:rFonts w:hint="eastAsia" w:ascii="宋体" w:cs="宋体"/>
          <w:sz w:val="24"/>
          <w:lang w:val="zh-CN"/>
        </w:rPr>
        <w:t>6.3、培训是指涉及产品基本原理、安装、调试、操作使用和保养维修运行维护等有关内容的学习。受训者的人数和培训时间在投标文件中应说明。</w:t>
      </w:r>
    </w:p>
    <w:p>
      <w:pPr>
        <w:autoSpaceDE w:val="0"/>
        <w:autoSpaceDN w:val="0"/>
        <w:adjustRightInd w:val="0"/>
        <w:snapToGrid w:val="0"/>
        <w:spacing w:line="360" w:lineRule="auto"/>
        <w:ind w:firstLine="480" w:firstLineChars="200"/>
        <w:rPr>
          <w:rFonts w:hint="eastAsia" w:ascii="宋体" w:cs="宋体"/>
          <w:sz w:val="24"/>
          <w:lang w:val="zh-CN"/>
        </w:rPr>
      </w:pPr>
      <w:r>
        <w:rPr>
          <w:rFonts w:hint="eastAsia" w:ascii="宋体" w:cs="宋体"/>
          <w:sz w:val="24"/>
          <w:lang w:val="zh-CN"/>
        </w:rPr>
        <w:t>应提供所有系统应用人员不低于2次的操作培训。</w:t>
      </w:r>
    </w:p>
    <w:p>
      <w:pPr>
        <w:autoSpaceDE w:val="0"/>
        <w:autoSpaceDN w:val="0"/>
        <w:adjustRightInd w:val="0"/>
        <w:snapToGrid w:val="0"/>
        <w:spacing w:line="360" w:lineRule="auto"/>
        <w:ind w:firstLine="480" w:firstLineChars="200"/>
        <w:rPr>
          <w:rFonts w:ascii="宋体" w:cs="宋体"/>
          <w:sz w:val="24"/>
          <w:lang w:val="zh-CN"/>
        </w:rPr>
      </w:pPr>
      <w:r>
        <w:rPr>
          <w:rFonts w:hint="eastAsia" w:ascii="宋体" w:cs="宋体"/>
          <w:sz w:val="24"/>
          <w:lang w:val="zh-CN"/>
        </w:rPr>
        <w:t>7、投标人应就该项目每包完整投标，</w:t>
      </w:r>
      <w:r>
        <w:rPr>
          <w:rFonts w:hint="eastAsia" w:ascii="宋体" w:cs="宋体"/>
          <w:b/>
          <w:sz w:val="24"/>
          <w:lang w:val="zh-CN"/>
        </w:rPr>
        <w:t>否则为无效投标</w:t>
      </w:r>
      <w:r>
        <w:rPr>
          <w:rFonts w:hint="eastAsia" w:ascii="宋体" w:cs="宋体"/>
          <w:sz w:val="24"/>
          <w:lang w:val="zh-CN"/>
        </w:rPr>
        <w:t>。</w:t>
      </w:r>
    </w:p>
    <w:p>
      <w:pPr>
        <w:autoSpaceDE w:val="0"/>
        <w:autoSpaceDN w:val="0"/>
        <w:adjustRightInd w:val="0"/>
        <w:snapToGrid w:val="0"/>
        <w:spacing w:line="360" w:lineRule="auto"/>
        <w:ind w:firstLine="480" w:firstLineChars="200"/>
        <w:rPr>
          <w:rFonts w:hint="eastAsia" w:ascii="宋体" w:cs="宋体"/>
          <w:sz w:val="24"/>
          <w:lang w:val="zh-CN"/>
        </w:rPr>
      </w:pPr>
      <w:r>
        <w:rPr>
          <w:rFonts w:hint="eastAsia" w:ascii="宋体" w:cs="宋体"/>
          <w:sz w:val="24"/>
          <w:lang w:val="zh-CN"/>
        </w:rPr>
        <w:t>8、本项目为交钥匙工程（包括设备、材料、元件等购置、安装调试、验收、与其它施工单位协作所产生的费用运保费及其他相关费用如：报关费用、考察、监造、出厂检验、检测费及验收费等）设备交付正常使用前所发生的所有费用均由公司承担。</w:t>
      </w:r>
    </w:p>
    <w:p>
      <w:pPr>
        <w:autoSpaceDE w:val="0"/>
        <w:autoSpaceDN w:val="0"/>
        <w:adjustRightInd w:val="0"/>
        <w:snapToGrid w:val="0"/>
        <w:spacing w:line="360" w:lineRule="auto"/>
        <w:ind w:firstLine="480" w:firstLineChars="200"/>
        <w:rPr>
          <w:rFonts w:hint="eastAsia" w:ascii="宋体" w:cs="宋体"/>
          <w:b/>
          <w:sz w:val="24"/>
          <w:lang w:val="zh-CN"/>
        </w:rPr>
      </w:pPr>
      <w:r>
        <w:rPr>
          <w:rFonts w:hint="eastAsia" w:ascii="宋体" w:cs="宋体"/>
          <w:sz w:val="24"/>
          <w:lang w:val="zh-CN"/>
        </w:rPr>
        <w:t>9、付款方式</w:t>
      </w:r>
      <w:r>
        <w:rPr>
          <w:rFonts w:hint="eastAsia" w:ascii="宋体" w:cs="宋体"/>
          <w:b/>
          <w:sz w:val="24"/>
          <w:lang w:val="zh-CN"/>
        </w:rPr>
        <w:t>（不响应者为无效投标）</w:t>
      </w:r>
    </w:p>
    <w:p>
      <w:pPr>
        <w:autoSpaceDE w:val="0"/>
        <w:autoSpaceDN w:val="0"/>
        <w:adjustRightInd w:val="0"/>
        <w:snapToGrid w:val="0"/>
        <w:spacing w:line="360" w:lineRule="auto"/>
        <w:ind w:firstLine="480" w:firstLineChars="200"/>
        <w:rPr>
          <w:rFonts w:hint="eastAsia" w:ascii="宋体" w:cs="宋体"/>
          <w:b w:val="0"/>
          <w:bCs/>
          <w:sz w:val="24"/>
          <w:lang w:val="zh-CN"/>
        </w:rPr>
      </w:pPr>
      <w:r>
        <w:rPr>
          <w:rFonts w:hint="eastAsia" w:ascii="宋体" w:cs="宋体"/>
          <w:b w:val="0"/>
          <w:bCs/>
          <w:sz w:val="24"/>
          <w:lang w:val="zh-CN"/>
        </w:rPr>
        <w:t>设备安装验收培训使用合格后，一个月付全款的</w:t>
      </w:r>
      <w:r>
        <w:rPr>
          <w:rFonts w:hint="eastAsia" w:ascii="宋体" w:cs="宋体"/>
          <w:b w:val="0"/>
          <w:bCs/>
          <w:sz w:val="24"/>
          <w:lang w:val="en-US" w:eastAsia="zh-CN"/>
        </w:rPr>
        <w:t>70%，剩余30%满一年付清。</w:t>
      </w:r>
    </w:p>
    <w:p>
      <w:pPr>
        <w:numPr>
          <w:ilvl w:val="0"/>
          <w:numId w:val="1"/>
        </w:numPr>
        <w:autoSpaceDE w:val="0"/>
        <w:autoSpaceDN w:val="0"/>
        <w:adjustRightInd w:val="0"/>
        <w:snapToGrid w:val="0"/>
        <w:spacing w:line="360" w:lineRule="auto"/>
        <w:ind w:firstLine="482" w:firstLineChars="200"/>
        <w:rPr>
          <w:rFonts w:hint="eastAsia" w:ascii="宋体" w:cs="宋体"/>
          <w:b/>
          <w:bCs/>
          <w:sz w:val="24"/>
          <w:lang w:val="zh-CN"/>
        </w:rPr>
      </w:pPr>
      <w:r>
        <w:rPr>
          <w:rFonts w:hint="eastAsia" w:ascii="宋体" w:cs="宋体"/>
          <w:b/>
          <w:sz w:val="24"/>
          <w:lang w:val="zh-CN"/>
        </w:rPr>
        <w:t>采购预算：</w:t>
      </w:r>
      <w:r>
        <w:rPr>
          <w:rFonts w:hint="eastAsia" w:ascii="宋体" w:cs="宋体"/>
          <w:b w:val="0"/>
          <w:bCs/>
          <w:sz w:val="24"/>
          <w:lang w:val="zh-CN"/>
        </w:rPr>
        <w:t>A包：200万元；B包：320万元；C包：55万元；D包：30万元；E包：100万元。</w:t>
      </w:r>
      <w:r>
        <w:rPr>
          <w:rFonts w:hint="eastAsia" w:ascii="宋体" w:cs="宋体"/>
          <w:b/>
          <w:bCs/>
          <w:sz w:val="24"/>
          <w:lang w:val="zh-CN"/>
        </w:rPr>
        <w:t>超出者为无效投标。</w:t>
      </w:r>
    </w:p>
    <w:p>
      <w:pPr>
        <w:numPr>
          <w:ilvl w:val="0"/>
          <w:numId w:val="0"/>
        </w:numPr>
        <w:autoSpaceDE w:val="0"/>
        <w:autoSpaceDN w:val="0"/>
        <w:adjustRightInd w:val="0"/>
        <w:snapToGrid w:val="0"/>
        <w:spacing w:line="360" w:lineRule="auto"/>
        <w:rPr>
          <w:rFonts w:hint="eastAsia" w:ascii="宋体" w:cs="宋体"/>
          <w:b/>
          <w:bCs/>
          <w:sz w:val="24"/>
          <w:lang w:val="zh-CN"/>
        </w:rPr>
      </w:pPr>
    </w:p>
    <w:p>
      <w:pPr>
        <w:numPr>
          <w:ilvl w:val="0"/>
          <w:numId w:val="0"/>
        </w:numPr>
        <w:autoSpaceDE w:val="0"/>
        <w:autoSpaceDN w:val="0"/>
        <w:adjustRightInd w:val="0"/>
        <w:snapToGrid w:val="0"/>
        <w:spacing w:line="360" w:lineRule="auto"/>
        <w:rPr>
          <w:rFonts w:hint="eastAsia" w:ascii="宋体" w:cs="宋体"/>
          <w:b/>
          <w:bCs/>
          <w:sz w:val="24"/>
          <w:lang w:val="zh-CN"/>
        </w:rPr>
      </w:pPr>
      <w:r>
        <w:rPr>
          <w:rFonts w:hint="eastAsia" w:ascii="宋体" w:cs="宋体"/>
          <w:b/>
          <w:sz w:val="24"/>
          <w:lang w:val="zh-CN"/>
        </w:rPr>
        <w:t>（</w:t>
      </w:r>
      <w:r>
        <w:rPr>
          <w:rFonts w:hint="eastAsia" w:ascii="宋体" w:cs="宋体"/>
          <w:b/>
          <w:sz w:val="24"/>
          <w:lang w:val="zh-CN" w:eastAsia="zh-CN"/>
        </w:rPr>
        <w:t>五</w:t>
      </w:r>
      <w:r>
        <w:rPr>
          <w:rFonts w:hint="eastAsia" w:ascii="宋体" w:cs="宋体"/>
          <w:b/>
          <w:sz w:val="24"/>
          <w:lang w:val="zh-CN"/>
        </w:rPr>
        <w:t>）评分标准</w:t>
      </w:r>
    </w:p>
    <w:p>
      <w:pPr>
        <w:spacing w:line="520" w:lineRule="exact"/>
        <w:ind w:left="-2" w:leftChars="-1" w:firstLine="588" w:firstLineChars="196"/>
        <w:rPr>
          <w:rFonts w:hint="eastAsia" w:ascii="仿宋_GB2312" w:hAnsi="宋体" w:eastAsia="仿宋_GB2312"/>
          <w:sz w:val="30"/>
          <w:szCs w:val="30"/>
          <w:highlight w:val="none"/>
        </w:rPr>
      </w:pPr>
    </w:p>
    <w:p>
      <w:pPr>
        <w:snapToGrid w:val="0"/>
        <w:spacing w:line="500" w:lineRule="exact"/>
        <w:ind w:firstLine="643" w:firstLineChars="200"/>
        <w:jc w:val="center"/>
        <w:rPr>
          <w:rFonts w:hint="eastAsia" w:ascii="宋体" w:hAnsi="宋体"/>
          <w:b/>
          <w:bCs/>
          <w:sz w:val="32"/>
          <w:szCs w:val="32"/>
        </w:rPr>
      </w:pPr>
      <w:r>
        <w:rPr>
          <w:rFonts w:hint="eastAsia" w:ascii="宋体" w:hAnsi="宋体"/>
          <w:b/>
          <w:bCs/>
          <w:sz w:val="32"/>
          <w:szCs w:val="32"/>
        </w:rPr>
        <w:t>评分办法及评分标准</w:t>
      </w:r>
    </w:p>
    <w:p>
      <w:pPr>
        <w:spacing w:line="360" w:lineRule="auto"/>
        <w:ind w:firstLine="482" w:firstLineChars="200"/>
        <w:rPr>
          <w:rFonts w:ascii="宋体" w:hAnsi="宋体"/>
          <w:b/>
          <w:bCs/>
          <w:sz w:val="24"/>
        </w:rPr>
      </w:pPr>
      <w:r>
        <w:rPr>
          <w:rFonts w:hint="eastAsia" w:ascii="宋体" w:hAnsi="宋体"/>
          <w:b/>
          <w:bCs/>
          <w:sz w:val="24"/>
        </w:rPr>
        <w:t>采用综合评分法，满分100分。</w:t>
      </w:r>
    </w:p>
    <w:p>
      <w:pPr>
        <w:snapToGrid w:val="0"/>
        <w:spacing w:line="300" w:lineRule="auto"/>
        <w:rPr>
          <w:rFonts w:hint="eastAsia" w:ascii="宋体" w:hAnsi="宋体"/>
          <w:b/>
          <w:bCs/>
          <w:sz w:val="24"/>
        </w:rPr>
      </w:pPr>
      <w:r>
        <w:rPr>
          <w:rFonts w:hint="eastAsia" w:ascii="宋体" w:hAnsi="宋体"/>
          <w:b/>
          <w:bCs/>
          <w:sz w:val="24"/>
        </w:rPr>
        <w:t>附：                 综合评分法详细评审标准</w:t>
      </w:r>
    </w:p>
    <w:p>
      <w:pPr>
        <w:snapToGrid w:val="0"/>
        <w:spacing w:line="300" w:lineRule="auto"/>
        <w:ind w:left="151" w:leftChars="72" w:right="267" w:rightChars="127"/>
        <w:rPr>
          <w:rFonts w:ascii="宋体" w:hAnsi="宋体"/>
          <w:b/>
          <w:bCs/>
          <w:sz w:val="24"/>
        </w:rPr>
      </w:pPr>
      <w:r>
        <w:rPr>
          <w:rFonts w:ascii="宋体" w:hAnsi="宋体"/>
          <w:b/>
          <w:bCs/>
          <w:sz w:val="24"/>
        </w:rPr>
        <w:t>1</w:t>
      </w:r>
      <w:r>
        <w:rPr>
          <w:rFonts w:hint="eastAsia" w:ascii="宋体" w:hAnsi="宋体"/>
          <w:b/>
          <w:bCs/>
          <w:sz w:val="24"/>
        </w:rPr>
        <w:t>、评分因素及分值分配</w:t>
      </w:r>
    </w:p>
    <w:tbl>
      <w:tblPr>
        <w:tblStyle w:val="6"/>
        <w:tblW w:w="8495"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900"/>
        <w:gridCol w:w="2876"/>
        <w:gridCol w:w="904"/>
        <w:gridCol w:w="38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0" w:hRule="atLeast"/>
          <w:jc w:val="center"/>
        </w:trPr>
        <w:tc>
          <w:tcPr>
            <w:tcW w:w="900" w:type="dxa"/>
            <w:tcBorders>
              <w:top w:val="single" w:color="auto" w:sz="12" w:space="0"/>
              <w:left w:val="single" w:color="auto" w:sz="12" w:space="0"/>
              <w:bottom w:val="single" w:color="auto" w:sz="4" w:space="0"/>
              <w:right w:val="single" w:color="auto" w:sz="4" w:space="0"/>
            </w:tcBorders>
            <w:vAlign w:val="center"/>
          </w:tcPr>
          <w:p>
            <w:pPr>
              <w:snapToGrid w:val="0"/>
              <w:spacing w:line="300" w:lineRule="auto"/>
              <w:ind w:left="151" w:leftChars="72" w:right="267" w:rightChars="127"/>
              <w:rPr>
                <w:rFonts w:ascii="宋体" w:hAnsi="宋体"/>
                <w:b/>
                <w:bCs/>
                <w:sz w:val="24"/>
              </w:rPr>
            </w:pPr>
            <w:r>
              <w:rPr>
                <w:rFonts w:hint="eastAsia" w:ascii="宋体" w:hAnsi="宋体"/>
                <w:b/>
                <w:bCs/>
                <w:sz w:val="24"/>
              </w:rPr>
              <w:t>序号</w:t>
            </w:r>
          </w:p>
        </w:tc>
        <w:tc>
          <w:tcPr>
            <w:tcW w:w="2876" w:type="dxa"/>
            <w:tcBorders>
              <w:top w:val="single" w:color="auto" w:sz="12" w:space="0"/>
              <w:left w:val="single" w:color="auto" w:sz="4" w:space="0"/>
              <w:bottom w:val="single" w:color="auto" w:sz="4" w:space="0"/>
              <w:right w:val="single" w:color="auto" w:sz="4" w:space="0"/>
            </w:tcBorders>
            <w:vAlign w:val="center"/>
          </w:tcPr>
          <w:p>
            <w:pPr>
              <w:snapToGrid w:val="0"/>
              <w:spacing w:line="300" w:lineRule="auto"/>
              <w:ind w:left="151" w:leftChars="72" w:right="267" w:rightChars="127"/>
              <w:rPr>
                <w:rFonts w:ascii="宋体" w:hAnsi="宋体"/>
                <w:b/>
                <w:bCs/>
                <w:sz w:val="24"/>
              </w:rPr>
            </w:pPr>
            <w:r>
              <w:rPr>
                <w:rFonts w:hint="eastAsia" w:ascii="宋体" w:hAnsi="宋体"/>
                <w:b/>
                <w:bCs/>
                <w:sz w:val="24"/>
              </w:rPr>
              <w:t>评分因素</w:t>
            </w:r>
          </w:p>
        </w:tc>
        <w:tc>
          <w:tcPr>
            <w:tcW w:w="904" w:type="dxa"/>
            <w:tcBorders>
              <w:top w:val="single" w:color="auto" w:sz="12" w:space="0"/>
              <w:left w:val="single" w:color="auto" w:sz="4" w:space="0"/>
              <w:bottom w:val="single" w:color="auto" w:sz="4" w:space="0"/>
              <w:right w:val="single" w:color="auto" w:sz="4" w:space="0"/>
            </w:tcBorders>
            <w:vAlign w:val="center"/>
          </w:tcPr>
          <w:p>
            <w:pPr>
              <w:snapToGrid w:val="0"/>
              <w:spacing w:line="300" w:lineRule="auto"/>
              <w:ind w:left="151" w:leftChars="72" w:right="267" w:rightChars="127"/>
              <w:rPr>
                <w:rFonts w:ascii="宋体" w:hAnsi="宋体"/>
                <w:b/>
                <w:bCs/>
                <w:sz w:val="24"/>
              </w:rPr>
            </w:pPr>
            <w:r>
              <w:rPr>
                <w:rFonts w:hint="eastAsia" w:ascii="宋体" w:hAnsi="宋体"/>
                <w:b/>
                <w:bCs/>
                <w:sz w:val="24"/>
              </w:rPr>
              <w:t>满分</w:t>
            </w:r>
          </w:p>
        </w:tc>
        <w:tc>
          <w:tcPr>
            <w:tcW w:w="3815" w:type="dxa"/>
            <w:tcBorders>
              <w:top w:val="single" w:color="auto" w:sz="12" w:space="0"/>
              <w:left w:val="single" w:color="auto" w:sz="4" w:space="0"/>
              <w:bottom w:val="single" w:color="auto" w:sz="4" w:space="0"/>
              <w:right w:val="single" w:color="auto" w:sz="12" w:space="0"/>
            </w:tcBorders>
            <w:vAlign w:val="center"/>
          </w:tcPr>
          <w:p>
            <w:pPr>
              <w:snapToGrid w:val="0"/>
              <w:spacing w:line="300" w:lineRule="auto"/>
              <w:ind w:left="151" w:leftChars="72" w:right="267" w:rightChars="127"/>
              <w:rPr>
                <w:rFonts w:ascii="宋体" w:hAnsi="宋体"/>
                <w:b/>
                <w:bCs/>
                <w:sz w:val="24"/>
              </w:rPr>
            </w:pPr>
            <w:r>
              <w:rPr>
                <w:rFonts w:hint="eastAsia" w:ascii="宋体" w:hAnsi="宋体"/>
                <w:b/>
                <w:bCs/>
                <w:sz w:val="24"/>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75" w:hRule="atLeast"/>
          <w:jc w:val="center"/>
        </w:trPr>
        <w:tc>
          <w:tcPr>
            <w:tcW w:w="900" w:type="dxa"/>
            <w:tcBorders>
              <w:top w:val="single" w:color="auto" w:sz="4" w:space="0"/>
              <w:left w:val="single" w:color="auto" w:sz="12" w:space="0"/>
              <w:bottom w:val="single" w:color="auto" w:sz="4" w:space="0"/>
              <w:right w:val="single" w:color="auto" w:sz="4" w:space="0"/>
            </w:tcBorders>
            <w:vAlign w:val="center"/>
          </w:tcPr>
          <w:p>
            <w:pPr>
              <w:snapToGrid w:val="0"/>
              <w:spacing w:line="300" w:lineRule="auto"/>
              <w:ind w:left="151" w:leftChars="72" w:right="267" w:rightChars="127"/>
              <w:rPr>
                <w:rFonts w:hint="eastAsia" w:ascii="宋体" w:hAnsi="宋体"/>
                <w:b/>
                <w:bCs/>
                <w:sz w:val="24"/>
              </w:rPr>
            </w:pPr>
            <w:r>
              <w:rPr>
                <w:rFonts w:hint="eastAsia" w:ascii="宋体" w:hAnsi="宋体"/>
                <w:b/>
                <w:bCs/>
                <w:sz w:val="24"/>
              </w:rPr>
              <w:t>A</w:t>
            </w:r>
          </w:p>
        </w:tc>
        <w:tc>
          <w:tcPr>
            <w:tcW w:w="287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left="151" w:leftChars="72" w:right="267" w:rightChars="127"/>
              <w:rPr>
                <w:rFonts w:hint="eastAsia" w:ascii="宋体" w:hAnsi="宋体"/>
                <w:b/>
                <w:bCs/>
                <w:sz w:val="24"/>
              </w:rPr>
            </w:pPr>
            <w:r>
              <w:rPr>
                <w:rFonts w:hint="eastAsia" w:ascii="宋体" w:hAnsi="宋体"/>
                <w:b/>
                <w:bCs/>
                <w:sz w:val="24"/>
              </w:rPr>
              <w:t>投标报价</w:t>
            </w:r>
          </w:p>
        </w:tc>
        <w:tc>
          <w:tcPr>
            <w:tcW w:w="904"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left="151" w:leftChars="72" w:right="267" w:rightChars="127"/>
              <w:rPr>
                <w:rFonts w:hint="eastAsia" w:ascii="宋体" w:hAnsi="宋体"/>
                <w:b/>
                <w:bCs/>
                <w:sz w:val="24"/>
              </w:rPr>
            </w:pPr>
            <w:r>
              <w:rPr>
                <w:rFonts w:ascii="宋体" w:hAnsi="宋体"/>
                <w:b/>
                <w:bCs/>
                <w:sz w:val="24"/>
              </w:rPr>
              <w:t>4</w:t>
            </w:r>
            <w:r>
              <w:rPr>
                <w:rFonts w:hint="eastAsia" w:ascii="宋体" w:hAnsi="宋体"/>
                <w:b/>
                <w:bCs/>
                <w:sz w:val="24"/>
              </w:rPr>
              <w:t>0</w:t>
            </w:r>
          </w:p>
        </w:tc>
        <w:tc>
          <w:tcPr>
            <w:tcW w:w="3815" w:type="dxa"/>
            <w:tcBorders>
              <w:top w:val="single" w:color="auto" w:sz="4" w:space="0"/>
              <w:left w:val="single" w:color="auto" w:sz="4" w:space="0"/>
              <w:bottom w:val="single" w:color="auto" w:sz="4" w:space="0"/>
              <w:right w:val="single" w:color="auto" w:sz="12" w:space="0"/>
            </w:tcBorders>
            <w:vAlign w:val="center"/>
          </w:tcPr>
          <w:p>
            <w:pPr>
              <w:snapToGrid w:val="0"/>
              <w:spacing w:line="300" w:lineRule="auto"/>
              <w:ind w:left="151" w:leftChars="72" w:right="267" w:rightChars="127"/>
              <w:rPr>
                <w:rFonts w:ascii="宋体" w:hAnsi="宋体"/>
                <w:b/>
                <w:bCs/>
                <w:sz w:val="24"/>
              </w:rPr>
            </w:pPr>
            <w:r>
              <w:rPr>
                <w:rFonts w:hint="eastAsia" w:ascii="宋体" w:hAnsi="宋体"/>
                <w:b/>
                <w:bCs/>
                <w:sz w:val="24"/>
              </w:rPr>
              <w:t>详见评审标准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75" w:hRule="atLeast"/>
          <w:jc w:val="center"/>
        </w:trPr>
        <w:tc>
          <w:tcPr>
            <w:tcW w:w="900" w:type="dxa"/>
            <w:tcBorders>
              <w:top w:val="single" w:color="auto" w:sz="4" w:space="0"/>
              <w:left w:val="single" w:color="auto" w:sz="12" w:space="0"/>
              <w:bottom w:val="single" w:color="auto" w:sz="4" w:space="0"/>
              <w:right w:val="single" w:color="auto" w:sz="4" w:space="0"/>
            </w:tcBorders>
            <w:vAlign w:val="center"/>
          </w:tcPr>
          <w:p>
            <w:pPr>
              <w:snapToGrid w:val="0"/>
              <w:spacing w:line="300" w:lineRule="auto"/>
              <w:ind w:left="151" w:leftChars="72" w:right="267" w:rightChars="127"/>
              <w:rPr>
                <w:rFonts w:hint="eastAsia" w:ascii="宋体" w:hAnsi="宋体"/>
                <w:b/>
                <w:bCs/>
                <w:sz w:val="24"/>
              </w:rPr>
            </w:pPr>
            <w:r>
              <w:rPr>
                <w:rFonts w:hint="eastAsia" w:ascii="宋体" w:hAnsi="宋体"/>
                <w:b/>
                <w:bCs/>
                <w:sz w:val="24"/>
              </w:rPr>
              <w:t>B</w:t>
            </w:r>
          </w:p>
        </w:tc>
        <w:tc>
          <w:tcPr>
            <w:tcW w:w="287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left="151" w:leftChars="72" w:right="267" w:rightChars="127"/>
              <w:rPr>
                <w:rFonts w:hint="eastAsia" w:ascii="宋体" w:hAnsi="宋体"/>
                <w:b/>
                <w:bCs/>
                <w:sz w:val="24"/>
              </w:rPr>
            </w:pPr>
            <w:r>
              <w:rPr>
                <w:rFonts w:hint="eastAsia" w:ascii="宋体" w:hAnsi="宋体"/>
                <w:b/>
                <w:bCs/>
                <w:sz w:val="24"/>
              </w:rPr>
              <w:t>技术部分</w:t>
            </w:r>
          </w:p>
        </w:tc>
        <w:tc>
          <w:tcPr>
            <w:tcW w:w="904"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left="151" w:leftChars="72" w:right="267" w:rightChars="127"/>
              <w:rPr>
                <w:rFonts w:hint="eastAsia" w:ascii="宋体" w:hAnsi="宋体"/>
                <w:b/>
                <w:bCs/>
                <w:sz w:val="24"/>
              </w:rPr>
            </w:pPr>
            <w:r>
              <w:rPr>
                <w:rFonts w:ascii="宋体" w:hAnsi="宋体"/>
                <w:b/>
                <w:bCs/>
                <w:sz w:val="24"/>
              </w:rPr>
              <w:t>4</w:t>
            </w:r>
            <w:r>
              <w:rPr>
                <w:rFonts w:hint="eastAsia" w:ascii="宋体" w:hAnsi="宋体"/>
                <w:b/>
                <w:bCs/>
                <w:sz w:val="24"/>
              </w:rPr>
              <w:t>0</w:t>
            </w:r>
          </w:p>
        </w:tc>
        <w:tc>
          <w:tcPr>
            <w:tcW w:w="3815" w:type="dxa"/>
            <w:tcBorders>
              <w:top w:val="single" w:color="auto" w:sz="4" w:space="0"/>
              <w:left w:val="single" w:color="auto" w:sz="4" w:space="0"/>
              <w:bottom w:val="single" w:color="auto" w:sz="4" w:space="0"/>
              <w:right w:val="single" w:color="auto" w:sz="12" w:space="0"/>
            </w:tcBorders>
            <w:vAlign w:val="center"/>
          </w:tcPr>
          <w:p>
            <w:pPr>
              <w:snapToGrid w:val="0"/>
              <w:spacing w:line="300" w:lineRule="auto"/>
              <w:ind w:left="151" w:leftChars="72" w:right="267" w:rightChars="127"/>
              <w:rPr>
                <w:rFonts w:ascii="宋体" w:hAnsi="宋体"/>
                <w:b/>
                <w:bCs/>
                <w:sz w:val="24"/>
              </w:rPr>
            </w:pPr>
            <w:r>
              <w:rPr>
                <w:rFonts w:hint="eastAsia" w:ascii="宋体" w:hAnsi="宋体"/>
                <w:b/>
                <w:bCs/>
                <w:sz w:val="24"/>
              </w:rPr>
              <w:t>详见评审标准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75" w:hRule="atLeast"/>
          <w:jc w:val="center"/>
        </w:trPr>
        <w:tc>
          <w:tcPr>
            <w:tcW w:w="900" w:type="dxa"/>
            <w:tcBorders>
              <w:top w:val="single" w:color="auto" w:sz="4" w:space="0"/>
              <w:left w:val="single" w:color="auto" w:sz="12" w:space="0"/>
              <w:bottom w:val="single" w:color="auto" w:sz="4" w:space="0"/>
              <w:right w:val="single" w:color="auto" w:sz="4" w:space="0"/>
            </w:tcBorders>
            <w:vAlign w:val="center"/>
          </w:tcPr>
          <w:p>
            <w:pPr>
              <w:snapToGrid w:val="0"/>
              <w:spacing w:line="300" w:lineRule="auto"/>
              <w:ind w:left="151" w:leftChars="72" w:right="267" w:rightChars="127"/>
              <w:rPr>
                <w:rFonts w:hint="eastAsia" w:ascii="宋体" w:hAnsi="宋体"/>
                <w:b/>
                <w:bCs/>
                <w:sz w:val="24"/>
              </w:rPr>
            </w:pPr>
            <w:r>
              <w:rPr>
                <w:rFonts w:hint="eastAsia" w:ascii="宋体" w:hAnsi="宋体"/>
                <w:b/>
                <w:bCs/>
                <w:sz w:val="24"/>
              </w:rPr>
              <w:t>C</w:t>
            </w:r>
          </w:p>
        </w:tc>
        <w:tc>
          <w:tcPr>
            <w:tcW w:w="287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left="151" w:leftChars="72" w:right="267" w:rightChars="127"/>
              <w:rPr>
                <w:rFonts w:hint="eastAsia" w:ascii="宋体" w:hAnsi="宋体"/>
                <w:b/>
                <w:bCs/>
                <w:sz w:val="24"/>
              </w:rPr>
            </w:pPr>
            <w:r>
              <w:rPr>
                <w:rFonts w:hint="eastAsia" w:ascii="宋体" w:hAnsi="宋体"/>
                <w:b/>
                <w:bCs/>
                <w:sz w:val="24"/>
              </w:rPr>
              <w:t>商务部分</w:t>
            </w:r>
          </w:p>
        </w:tc>
        <w:tc>
          <w:tcPr>
            <w:tcW w:w="904"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left="151" w:leftChars="72" w:right="267" w:rightChars="127"/>
              <w:rPr>
                <w:rFonts w:hint="eastAsia" w:ascii="宋体" w:hAnsi="宋体"/>
                <w:b/>
                <w:bCs/>
                <w:sz w:val="24"/>
              </w:rPr>
            </w:pPr>
            <w:r>
              <w:rPr>
                <w:rFonts w:hint="eastAsia" w:ascii="宋体" w:hAnsi="宋体"/>
                <w:b/>
                <w:bCs/>
                <w:sz w:val="24"/>
              </w:rPr>
              <w:t>20</w:t>
            </w:r>
          </w:p>
        </w:tc>
        <w:tc>
          <w:tcPr>
            <w:tcW w:w="3815" w:type="dxa"/>
            <w:tcBorders>
              <w:top w:val="single" w:color="auto" w:sz="4" w:space="0"/>
              <w:left w:val="single" w:color="auto" w:sz="4" w:space="0"/>
              <w:bottom w:val="single" w:color="auto" w:sz="4" w:space="0"/>
              <w:right w:val="single" w:color="auto" w:sz="12" w:space="0"/>
            </w:tcBorders>
            <w:vAlign w:val="center"/>
          </w:tcPr>
          <w:p>
            <w:pPr>
              <w:snapToGrid w:val="0"/>
              <w:spacing w:line="300" w:lineRule="auto"/>
              <w:ind w:left="151" w:leftChars="72" w:right="267" w:rightChars="127"/>
              <w:rPr>
                <w:rFonts w:ascii="宋体" w:hAnsi="宋体"/>
                <w:b/>
                <w:bCs/>
                <w:sz w:val="24"/>
              </w:rPr>
            </w:pPr>
            <w:r>
              <w:rPr>
                <w:rFonts w:hint="eastAsia" w:ascii="宋体" w:hAnsi="宋体"/>
                <w:b/>
                <w:bCs/>
                <w:sz w:val="24"/>
              </w:rPr>
              <w:t>详见评审标准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542" w:hRule="atLeast"/>
          <w:jc w:val="center"/>
        </w:trPr>
        <w:tc>
          <w:tcPr>
            <w:tcW w:w="900" w:type="dxa"/>
            <w:tcBorders>
              <w:top w:val="single" w:color="auto" w:sz="4" w:space="0"/>
              <w:left w:val="single" w:color="auto" w:sz="12" w:space="0"/>
              <w:bottom w:val="single" w:color="auto" w:sz="12" w:space="0"/>
              <w:right w:val="single" w:color="auto" w:sz="4" w:space="0"/>
            </w:tcBorders>
            <w:vAlign w:val="center"/>
          </w:tcPr>
          <w:p>
            <w:pPr>
              <w:snapToGrid w:val="0"/>
              <w:spacing w:line="300" w:lineRule="auto"/>
              <w:ind w:left="151" w:leftChars="72" w:right="267" w:rightChars="127"/>
              <w:rPr>
                <w:rFonts w:ascii="宋体" w:hAnsi="宋体"/>
                <w:b/>
                <w:bCs/>
                <w:sz w:val="24"/>
              </w:rPr>
            </w:pPr>
            <w:r>
              <w:rPr>
                <w:rFonts w:hint="eastAsia" w:ascii="宋体" w:hAnsi="宋体"/>
                <w:b/>
                <w:bCs/>
                <w:sz w:val="24"/>
              </w:rPr>
              <w:t>合计</w:t>
            </w:r>
          </w:p>
        </w:tc>
        <w:tc>
          <w:tcPr>
            <w:tcW w:w="2876" w:type="dxa"/>
            <w:tcBorders>
              <w:top w:val="single" w:color="auto" w:sz="4" w:space="0"/>
              <w:left w:val="single" w:color="auto" w:sz="4" w:space="0"/>
              <w:bottom w:val="single" w:color="auto" w:sz="12" w:space="0"/>
              <w:right w:val="single" w:color="auto" w:sz="4" w:space="0"/>
            </w:tcBorders>
            <w:vAlign w:val="center"/>
          </w:tcPr>
          <w:p>
            <w:pPr>
              <w:snapToGrid w:val="0"/>
              <w:spacing w:line="300" w:lineRule="auto"/>
              <w:ind w:left="151" w:leftChars="72" w:right="267" w:rightChars="127"/>
              <w:rPr>
                <w:rFonts w:ascii="宋体" w:hAnsi="宋体"/>
                <w:b/>
                <w:bCs/>
                <w:sz w:val="24"/>
              </w:rPr>
            </w:pPr>
          </w:p>
        </w:tc>
        <w:tc>
          <w:tcPr>
            <w:tcW w:w="904" w:type="dxa"/>
            <w:tcBorders>
              <w:top w:val="single" w:color="auto" w:sz="4" w:space="0"/>
              <w:left w:val="single" w:color="auto" w:sz="4" w:space="0"/>
              <w:bottom w:val="single" w:color="auto" w:sz="12" w:space="0"/>
              <w:right w:val="single" w:color="auto" w:sz="4" w:space="0"/>
            </w:tcBorders>
            <w:vAlign w:val="center"/>
          </w:tcPr>
          <w:p>
            <w:pPr>
              <w:snapToGrid w:val="0"/>
              <w:spacing w:line="300" w:lineRule="auto"/>
              <w:ind w:left="151" w:leftChars="72" w:right="267" w:rightChars="127"/>
              <w:rPr>
                <w:rFonts w:ascii="宋体" w:hAnsi="宋体"/>
                <w:b/>
                <w:bCs/>
                <w:sz w:val="24"/>
              </w:rPr>
            </w:pPr>
            <w:r>
              <w:rPr>
                <w:rFonts w:ascii="宋体" w:hAnsi="宋体"/>
                <w:b/>
                <w:bCs/>
                <w:sz w:val="24"/>
              </w:rPr>
              <w:t>100</w:t>
            </w:r>
          </w:p>
        </w:tc>
        <w:tc>
          <w:tcPr>
            <w:tcW w:w="3815" w:type="dxa"/>
            <w:tcBorders>
              <w:top w:val="single" w:color="auto" w:sz="4" w:space="0"/>
              <w:left w:val="single" w:color="auto" w:sz="4" w:space="0"/>
              <w:bottom w:val="single" w:color="auto" w:sz="12" w:space="0"/>
              <w:right w:val="single" w:color="auto" w:sz="12" w:space="0"/>
            </w:tcBorders>
            <w:vAlign w:val="center"/>
          </w:tcPr>
          <w:p>
            <w:pPr>
              <w:snapToGrid w:val="0"/>
              <w:spacing w:line="300" w:lineRule="auto"/>
              <w:ind w:left="151" w:leftChars="72" w:right="267" w:rightChars="127"/>
              <w:rPr>
                <w:rFonts w:ascii="宋体" w:hAnsi="宋体"/>
                <w:b/>
                <w:bCs/>
                <w:sz w:val="24"/>
              </w:rPr>
            </w:pPr>
          </w:p>
        </w:tc>
      </w:tr>
    </w:tbl>
    <w:p>
      <w:pPr>
        <w:snapToGrid w:val="0"/>
        <w:spacing w:line="300" w:lineRule="auto"/>
        <w:ind w:left="151" w:leftChars="72" w:right="267" w:rightChars="127"/>
        <w:rPr>
          <w:rFonts w:hint="eastAsia" w:ascii="宋体" w:hAnsi="宋体"/>
          <w:b/>
          <w:bCs/>
          <w:sz w:val="24"/>
        </w:rPr>
      </w:pPr>
      <w:r>
        <w:rPr>
          <w:rFonts w:ascii="宋体" w:hAnsi="宋体"/>
          <w:b/>
          <w:bCs/>
          <w:sz w:val="24"/>
        </w:rPr>
        <w:t>2</w:t>
      </w:r>
      <w:r>
        <w:rPr>
          <w:rFonts w:hint="eastAsia" w:ascii="宋体" w:hAnsi="宋体"/>
          <w:b/>
          <w:bCs/>
          <w:sz w:val="24"/>
        </w:rPr>
        <w:t>、评分因素及分值确定</w:t>
      </w:r>
    </w:p>
    <w:p>
      <w:pPr>
        <w:snapToGrid w:val="0"/>
        <w:spacing w:line="300" w:lineRule="auto"/>
        <w:ind w:left="151" w:leftChars="72" w:right="267" w:rightChars="127"/>
        <w:rPr>
          <w:rFonts w:ascii="宋体" w:hAnsi="宋体"/>
          <w:b/>
          <w:bCs/>
          <w:sz w:val="24"/>
        </w:rPr>
      </w:pPr>
      <w:r>
        <w:rPr>
          <w:rFonts w:ascii="宋体" w:hAnsi="宋体"/>
          <w:b/>
          <w:bCs/>
          <w:sz w:val="24"/>
        </w:rPr>
        <w:t>A</w:t>
      </w:r>
      <w:r>
        <w:rPr>
          <w:rFonts w:hint="eastAsia" w:ascii="宋体" w:hAnsi="宋体"/>
          <w:b/>
          <w:bCs/>
          <w:sz w:val="24"/>
        </w:rPr>
        <w:t>、投标报价：40分</w:t>
      </w:r>
    </w:p>
    <w:tbl>
      <w:tblPr>
        <w:tblStyle w:val="6"/>
        <w:tblW w:w="8531"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29"/>
        <w:gridCol w:w="2545"/>
        <w:gridCol w:w="1178"/>
        <w:gridCol w:w="397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829" w:type="dxa"/>
            <w:tcBorders>
              <w:top w:val="single" w:color="auto" w:sz="12" w:space="0"/>
              <w:left w:val="single" w:color="auto" w:sz="12" w:space="0"/>
              <w:bottom w:val="single" w:color="auto" w:sz="4" w:space="0"/>
              <w:right w:val="single" w:color="auto" w:sz="4" w:space="0"/>
            </w:tcBorders>
            <w:vAlign w:val="center"/>
          </w:tcPr>
          <w:p>
            <w:pPr>
              <w:snapToGrid w:val="0"/>
              <w:spacing w:line="300" w:lineRule="auto"/>
              <w:ind w:left="151" w:leftChars="72" w:right="267" w:rightChars="127"/>
              <w:rPr>
                <w:rFonts w:ascii="宋体" w:hAnsi="宋体"/>
                <w:b/>
                <w:bCs/>
                <w:sz w:val="24"/>
              </w:rPr>
            </w:pPr>
            <w:r>
              <w:rPr>
                <w:rFonts w:hint="eastAsia" w:ascii="宋体" w:hAnsi="宋体"/>
                <w:b/>
                <w:bCs/>
                <w:sz w:val="24"/>
              </w:rPr>
              <w:t>序号</w:t>
            </w:r>
          </w:p>
        </w:tc>
        <w:tc>
          <w:tcPr>
            <w:tcW w:w="2545" w:type="dxa"/>
            <w:tcBorders>
              <w:top w:val="single" w:color="auto" w:sz="12" w:space="0"/>
              <w:left w:val="single" w:color="auto" w:sz="4" w:space="0"/>
              <w:bottom w:val="single" w:color="auto" w:sz="4" w:space="0"/>
              <w:right w:val="single" w:color="auto" w:sz="4" w:space="0"/>
            </w:tcBorders>
            <w:vAlign w:val="center"/>
          </w:tcPr>
          <w:p>
            <w:pPr>
              <w:snapToGrid w:val="0"/>
              <w:spacing w:line="300" w:lineRule="auto"/>
              <w:ind w:left="151" w:leftChars="72" w:right="267" w:rightChars="127"/>
              <w:rPr>
                <w:rFonts w:ascii="宋体" w:hAnsi="宋体"/>
                <w:b/>
                <w:bCs/>
                <w:sz w:val="24"/>
              </w:rPr>
            </w:pPr>
            <w:r>
              <w:rPr>
                <w:rFonts w:hint="eastAsia" w:ascii="宋体" w:hAnsi="宋体"/>
                <w:b/>
                <w:bCs/>
                <w:sz w:val="24"/>
              </w:rPr>
              <w:t>评分因素</w:t>
            </w:r>
          </w:p>
        </w:tc>
        <w:tc>
          <w:tcPr>
            <w:tcW w:w="1178" w:type="dxa"/>
            <w:tcBorders>
              <w:top w:val="single" w:color="auto" w:sz="12" w:space="0"/>
              <w:left w:val="single" w:color="auto" w:sz="4" w:space="0"/>
              <w:bottom w:val="single" w:color="auto" w:sz="4" w:space="0"/>
              <w:right w:val="single" w:color="auto" w:sz="4" w:space="0"/>
            </w:tcBorders>
            <w:vAlign w:val="center"/>
          </w:tcPr>
          <w:p>
            <w:pPr>
              <w:snapToGrid w:val="0"/>
              <w:spacing w:line="300" w:lineRule="auto"/>
              <w:ind w:left="151" w:leftChars="72" w:right="267" w:rightChars="127"/>
              <w:rPr>
                <w:rFonts w:ascii="宋体" w:hAnsi="宋体"/>
                <w:b/>
                <w:bCs/>
                <w:sz w:val="24"/>
              </w:rPr>
            </w:pPr>
            <w:r>
              <w:rPr>
                <w:rFonts w:hint="eastAsia" w:ascii="宋体" w:hAnsi="宋体"/>
                <w:b/>
                <w:bCs/>
                <w:sz w:val="24"/>
              </w:rPr>
              <w:t>分值</w:t>
            </w:r>
          </w:p>
        </w:tc>
        <w:tc>
          <w:tcPr>
            <w:tcW w:w="3979" w:type="dxa"/>
            <w:tcBorders>
              <w:top w:val="single" w:color="auto" w:sz="12" w:space="0"/>
              <w:left w:val="single" w:color="auto" w:sz="4" w:space="0"/>
              <w:bottom w:val="single" w:color="auto" w:sz="4" w:space="0"/>
              <w:right w:val="single" w:color="auto" w:sz="12" w:space="0"/>
            </w:tcBorders>
            <w:vAlign w:val="center"/>
          </w:tcPr>
          <w:p>
            <w:pPr>
              <w:snapToGrid w:val="0"/>
              <w:spacing w:line="300" w:lineRule="auto"/>
              <w:ind w:left="151" w:leftChars="72" w:right="267" w:rightChars="127"/>
              <w:rPr>
                <w:rFonts w:ascii="宋体" w:hAnsi="宋体"/>
                <w:b/>
                <w:bCs/>
                <w:sz w:val="24"/>
              </w:rPr>
            </w:pPr>
            <w:r>
              <w:rPr>
                <w:rFonts w:hint="eastAsia" w:ascii="宋体" w:hAnsi="宋体"/>
                <w:b/>
                <w:bCs/>
                <w:sz w:val="24"/>
              </w:rPr>
              <w:t>评分标准说明</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829" w:type="dxa"/>
            <w:tcBorders>
              <w:top w:val="single" w:color="auto" w:sz="4" w:space="0"/>
              <w:left w:val="single" w:color="auto" w:sz="12" w:space="0"/>
              <w:bottom w:val="single" w:color="auto" w:sz="12" w:space="0"/>
              <w:right w:val="single" w:color="auto" w:sz="4" w:space="0"/>
            </w:tcBorders>
            <w:vAlign w:val="center"/>
          </w:tcPr>
          <w:p>
            <w:pPr>
              <w:snapToGrid w:val="0"/>
              <w:spacing w:line="300" w:lineRule="auto"/>
              <w:ind w:left="151" w:leftChars="72" w:right="267" w:rightChars="127"/>
              <w:rPr>
                <w:rFonts w:hint="eastAsia" w:ascii="宋体" w:hAnsi="宋体"/>
                <w:b/>
                <w:bCs/>
                <w:sz w:val="24"/>
              </w:rPr>
            </w:pPr>
            <w:r>
              <w:rPr>
                <w:rFonts w:hint="eastAsia" w:ascii="宋体" w:hAnsi="宋体"/>
                <w:b/>
                <w:bCs/>
                <w:sz w:val="24"/>
              </w:rPr>
              <w:t>A1</w:t>
            </w:r>
          </w:p>
        </w:tc>
        <w:tc>
          <w:tcPr>
            <w:tcW w:w="2545" w:type="dxa"/>
            <w:tcBorders>
              <w:top w:val="single" w:color="auto" w:sz="4" w:space="0"/>
              <w:left w:val="single" w:color="auto" w:sz="4" w:space="0"/>
              <w:bottom w:val="single" w:color="auto" w:sz="12" w:space="0"/>
              <w:right w:val="single" w:color="auto" w:sz="4" w:space="0"/>
            </w:tcBorders>
            <w:vAlign w:val="center"/>
          </w:tcPr>
          <w:p>
            <w:pPr>
              <w:snapToGrid w:val="0"/>
              <w:spacing w:line="300" w:lineRule="auto"/>
              <w:ind w:left="151" w:leftChars="72" w:right="267" w:rightChars="127"/>
              <w:rPr>
                <w:rFonts w:ascii="宋体" w:hAnsi="宋体"/>
                <w:b/>
                <w:bCs/>
                <w:sz w:val="24"/>
              </w:rPr>
            </w:pPr>
            <w:r>
              <w:rPr>
                <w:rFonts w:hint="eastAsia" w:ascii="宋体" w:hAnsi="宋体"/>
                <w:b/>
                <w:bCs/>
                <w:sz w:val="24"/>
              </w:rPr>
              <w:t>投标报价得分</w:t>
            </w:r>
          </w:p>
        </w:tc>
        <w:tc>
          <w:tcPr>
            <w:tcW w:w="1178" w:type="dxa"/>
            <w:tcBorders>
              <w:top w:val="single" w:color="auto" w:sz="4" w:space="0"/>
              <w:left w:val="single" w:color="auto" w:sz="4" w:space="0"/>
              <w:bottom w:val="single" w:color="auto" w:sz="12" w:space="0"/>
              <w:right w:val="single" w:color="auto" w:sz="4" w:space="0"/>
            </w:tcBorders>
            <w:vAlign w:val="center"/>
          </w:tcPr>
          <w:p>
            <w:pPr>
              <w:snapToGrid w:val="0"/>
              <w:spacing w:line="300" w:lineRule="auto"/>
              <w:ind w:left="151" w:leftChars="72" w:right="267" w:rightChars="127"/>
              <w:rPr>
                <w:rFonts w:hint="eastAsia" w:ascii="宋体" w:hAnsi="宋体"/>
                <w:b/>
                <w:bCs/>
                <w:sz w:val="24"/>
              </w:rPr>
            </w:pPr>
            <w:r>
              <w:rPr>
                <w:rFonts w:ascii="宋体" w:hAnsi="宋体"/>
                <w:b/>
                <w:bCs/>
                <w:sz w:val="24"/>
              </w:rPr>
              <w:t>4</w:t>
            </w:r>
            <w:r>
              <w:rPr>
                <w:rFonts w:hint="eastAsia" w:ascii="宋体" w:hAnsi="宋体"/>
                <w:b/>
                <w:bCs/>
                <w:sz w:val="24"/>
              </w:rPr>
              <w:t>0</w:t>
            </w:r>
          </w:p>
        </w:tc>
        <w:tc>
          <w:tcPr>
            <w:tcW w:w="3979" w:type="dxa"/>
            <w:tcBorders>
              <w:top w:val="single" w:color="auto" w:sz="4" w:space="0"/>
              <w:left w:val="single" w:color="auto" w:sz="4" w:space="0"/>
              <w:bottom w:val="single" w:color="auto" w:sz="12" w:space="0"/>
              <w:right w:val="single" w:color="auto" w:sz="12" w:space="0"/>
            </w:tcBorders>
            <w:vAlign w:val="center"/>
          </w:tcPr>
          <w:p>
            <w:pPr>
              <w:snapToGrid w:val="0"/>
              <w:spacing w:line="300" w:lineRule="auto"/>
              <w:ind w:left="151" w:leftChars="72" w:right="267" w:rightChars="127"/>
              <w:rPr>
                <w:rFonts w:ascii="宋体" w:hAnsi="宋体"/>
                <w:b/>
                <w:bCs/>
                <w:sz w:val="24"/>
              </w:rPr>
            </w:pPr>
            <w:r>
              <w:rPr>
                <w:rFonts w:hint="eastAsia" w:ascii="宋体" w:hAnsi="宋体"/>
                <w:b/>
                <w:bCs/>
                <w:sz w:val="24"/>
              </w:rPr>
              <w:t>见注</w:t>
            </w:r>
          </w:p>
        </w:tc>
      </w:tr>
    </w:tbl>
    <w:p>
      <w:pPr>
        <w:snapToGrid w:val="0"/>
        <w:spacing w:line="300" w:lineRule="auto"/>
        <w:ind w:left="151" w:leftChars="72" w:right="267" w:rightChars="127"/>
        <w:rPr>
          <w:rFonts w:hint="eastAsia" w:ascii="宋体" w:hAnsi="宋体"/>
          <w:b/>
          <w:bCs/>
          <w:sz w:val="24"/>
        </w:rPr>
      </w:pPr>
    </w:p>
    <w:p>
      <w:pPr>
        <w:snapToGrid w:val="0"/>
        <w:spacing w:line="300" w:lineRule="auto"/>
        <w:ind w:left="151" w:leftChars="72" w:right="267" w:rightChars="127"/>
        <w:rPr>
          <w:rFonts w:hint="eastAsia" w:ascii="宋体" w:hAnsi="宋体"/>
          <w:b/>
          <w:bCs/>
          <w:sz w:val="24"/>
        </w:rPr>
      </w:pPr>
      <w:r>
        <w:rPr>
          <w:rFonts w:hint="eastAsia" w:ascii="宋体" w:hAnsi="宋体"/>
          <w:b/>
          <w:bCs/>
          <w:sz w:val="24"/>
        </w:rPr>
        <w:t>注：</w:t>
      </w:r>
    </w:p>
    <w:p>
      <w:pPr>
        <w:snapToGrid w:val="0"/>
        <w:spacing w:line="300" w:lineRule="auto"/>
        <w:ind w:left="151" w:leftChars="72" w:right="267" w:rightChars="127"/>
        <w:rPr>
          <w:rFonts w:hint="eastAsia" w:ascii="宋体" w:hAnsi="宋体"/>
          <w:b/>
          <w:bCs/>
          <w:sz w:val="24"/>
        </w:rPr>
      </w:pPr>
      <w:r>
        <w:rPr>
          <w:rFonts w:hint="eastAsia" w:ascii="宋体" w:hAnsi="宋体"/>
          <w:b/>
          <w:bCs/>
          <w:sz w:val="24"/>
        </w:rPr>
        <w:t>报价得分=最低有效投标报价/有效投标报价×</w:t>
      </w:r>
      <w:r>
        <w:rPr>
          <w:rFonts w:ascii="宋体" w:hAnsi="宋体"/>
          <w:b/>
          <w:bCs/>
          <w:sz w:val="24"/>
        </w:rPr>
        <w:t>4</w:t>
      </w:r>
      <w:r>
        <w:rPr>
          <w:rFonts w:hint="eastAsia" w:ascii="宋体" w:hAnsi="宋体"/>
          <w:b/>
          <w:bCs/>
          <w:sz w:val="24"/>
        </w:rPr>
        <w:t>0</w:t>
      </w:r>
    </w:p>
    <w:p>
      <w:pPr>
        <w:snapToGrid w:val="0"/>
        <w:spacing w:line="300" w:lineRule="auto"/>
        <w:ind w:left="151" w:leftChars="72" w:right="267" w:rightChars="127"/>
        <w:rPr>
          <w:rFonts w:hint="eastAsia" w:ascii="宋体" w:hAnsi="宋体"/>
          <w:b/>
          <w:bCs/>
          <w:sz w:val="24"/>
        </w:rPr>
      </w:pPr>
      <w:r>
        <w:rPr>
          <w:rFonts w:hint="eastAsia" w:ascii="宋体" w:hAnsi="宋体"/>
          <w:b/>
          <w:bCs/>
          <w:sz w:val="24"/>
        </w:rPr>
        <w:t>计算按四舍五入法则，保留小数点后两位。</w:t>
      </w:r>
    </w:p>
    <w:p>
      <w:pPr>
        <w:snapToGrid w:val="0"/>
        <w:spacing w:line="300" w:lineRule="auto"/>
        <w:ind w:left="151" w:leftChars="72" w:right="267" w:rightChars="127"/>
        <w:rPr>
          <w:rFonts w:hint="eastAsia" w:ascii="宋体" w:hAnsi="宋体"/>
          <w:b/>
          <w:bCs/>
          <w:sz w:val="24"/>
        </w:rPr>
      </w:pPr>
      <w:r>
        <w:rPr>
          <w:rFonts w:hint="eastAsia" w:ascii="宋体" w:hAnsi="宋体"/>
          <w:b/>
          <w:bCs/>
          <w:sz w:val="24"/>
        </w:rPr>
        <w:t>所有未进入详细评审的投标作为无效投标，其报价不作为评分依据。</w:t>
      </w:r>
    </w:p>
    <w:p>
      <w:pPr>
        <w:snapToGrid w:val="0"/>
        <w:spacing w:line="300" w:lineRule="auto"/>
        <w:ind w:left="151" w:leftChars="72" w:right="267" w:rightChars="127"/>
        <w:rPr>
          <w:rFonts w:hint="eastAsia" w:ascii="宋体" w:hAnsi="宋体"/>
          <w:b/>
          <w:bCs/>
          <w:sz w:val="24"/>
        </w:rPr>
      </w:pPr>
      <w:r>
        <w:rPr>
          <w:rFonts w:hint="eastAsia" w:ascii="宋体" w:hAnsi="宋体"/>
          <w:b/>
          <w:bCs/>
          <w:sz w:val="24"/>
        </w:rPr>
        <w:t>经评标委员会认定具有下述情况之一的投标，其报价不作为评分依据。</w:t>
      </w:r>
    </w:p>
    <w:p>
      <w:pPr>
        <w:snapToGrid w:val="0"/>
        <w:spacing w:line="300" w:lineRule="auto"/>
        <w:ind w:left="151" w:leftChars="72" w:right="267" w:rightChars="127"/>
        <w:rPr>
          <w:rFonts w:hint="eastAsia" w:ascii="宋体" w:hAnsi="宋体"/>
          <w:b/>
          <w:bCs/>
          <w:sz w:val="24"/>
        </w:rPr>
      </w:pPr>
      <w:r>
        <w:rPr>
          <w:rFonts w:hint="eastAsia" w:ascii="宋体" w:hAnsi="宋体"/>
          <w:b/>
          <w:bCs/>
          <w:sz w:val="24"/>
        </w:rPr>
        <w:t>低于成本价的投标。</w:t>
      </w:r>
    </w:p>
    <w:p>
      <w:pPr>
        <w:snapToGrid w:val="0"/>
        <w:spacing w:line="300" w:lineRule="auto"/>
        <w:ind w:left="151" w:leftChars="72" w:right="267" w:rightChars="127"/>
        <w:rPr>
          <w:rFonts w:hint="eastAsia" w:ascii="宋体" w:hAnsi="宋体"/>
          <w:b/>
          <w:bCs/>
          <w:sz w:val="24"/>
        </w:rPr>
      </w:pPr>
      <w:r>
        <w:rPr>
          <w:rFonts w:hint="eastAsia" w:ascii="宋体" w:hAnsi="宋体"/>
          <w:b/>
          <w:bCs/>
          <w:sz w:val="24"/>
        </w:rPr>
        <w:t>虚假投标。</w:t>
      </w:r>
    </w:p>
    <w:p>
      <w:pPr>
        <w:snapToGrid w:val="0"/>
        <w:spacing w:line="300" w:lineRule="auto"/>
        <w:ind w:left="151" w:leftChars="72" w:right="267" w:rightChars="127"/>
        <w:rPr>
          <w:rFonts w:hint="eastAsia" w:ascii="宋体" w:hAnsi="宋体"/>
          <w:b/>
          <w:bCs/>
          <w:sz w:val="24"/>
        </w:rPr>
      </w:pPr>
      <w:r>
        <w:rPr>
          <w:rFonts w:hint="eastAsia" w:ascii="宋体" w:hAnsi="宋体"/>
          <w:b/>
          <w:bCs/>
          <w:sz w:val="24"/>
        </w:rPr>
        <w:t>未满足招标文件实质性要求的投标。</w:t>
      </w:r>
    </w:p>
    <w:p>
      <w:pPr>
        <w:snapToGrid w:val="0"/>
        <w:spacing w:line="300" w:lineRule="auto"/>
        <w:ind w:left="151" w:leftChars="72" w:right="267" w:rightChars="127"/>
        <w:rPr>
          <w:rFonts w:ascii="宋体" w:hAnsi="宋体"/>
          <w:b/>
          <w:bCs/>
          <w:sz w:val="24"/>
        </w:rPr>
      </w:pPr>
      <w:r>
        <w:rPr>
          <w:rFonts w:ascii="宋体" w:hAnsi="宋体"/>
          <w:b/>
          <w:bCs/>
          <w:sz w:val="24"/>
        </w:rPr>
        <w:t>B</w:t>
      </w:r>
      <w:r>
        <w:rPr>
          <w:rFonts w:hint="eastAsia" w:ascii="宋体" w:hAnsi="宋体"/>
          <w:b/>
          <w:bCs/>
          <w:sz w:val="24"/>
        </w:rPr>
        <w:t>、技术部分：</w:t>
      </w:r>
      <w:r>
        <w:rPr>
          <w:rFonts w:ascii="宋体" w:hAnsi="宋体"/>
          <w:b/>
          <w:bCs/>
          <w:sz w:val="24"/>
        </w:rPr>
        <w:t>4</w:t>
      </w:r>
      <w:r>
        <w:rPr>
          <w:rFonts w:hint="eastAsia" w:ascii="宋体" w:hAnsi="宋体"/>
          <w:b/>
          <w:bCs/>
          <w:sz w:val="24"/>
        </w:rPr>
        <w:t>0分</w:t>
      </w:r>
    </w:p>
    <w:tbl>
      <w:tblPr>
        <w:tblStyle w:val="6"/>
        <w:tblW w:w="9224"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6"/>
        <w:gridCol w:w="2053"/>
        <w:gridCol w:w="1051"/>
        <w:gridCol w:w="53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816" w:type="dxa"/>
            <w:tcBorders>
              <w:top w:val="single" w:color="auto" w:sz="12" w:space="0"/>
              <w:left w:val="single" w:color="auto" w:sz="12" w:space="0"/>
              <w:bottom w:val="single" w:color="auto" w:sz="4" w:space="0"/>
              <w:right w:val="single" w:color="auto" w:sz="4" w:space="0"/>
            </w:tcBorders>
            <w:vAlign w:val="center"/>
          </w:tcPr>
          <w:p>
            <w:pPr>
              <w:snapToGrid w:val="0"/>
              <w:spacing w:line="300" w:lineRule="auto"/>
              <w:ind w:right="267" w:rightChars="127"/>
              <w:rPr>
                <w:rFonts w:ascii="宋体" w:hAnsi="宋体"/>
                <w:b/>
                <w:bCs/>
                <w:color w:val="auto"/>
                <w:sz w:val="24"/>
              </w:rPr>
            </w:pPr>
            <w:r>
              <w:rPr>
                <w:rFonts w:hint="eastAsia" w:ascii="宋体" w:hAnsi="宋体"/>
                <w:b/>
                <w:bCs/>
                <w:color w:val="auto"/>
                <w:sz w:val="24"/>
              </w:rPr>
              <w:t>序号</w:t>
            </w:r>
          </w:p>
        </w:tc>
        <w:tc>
          <w:tcPr>
            <w:tcW w:w="2053" w:type="dxa"/>
            <w:tcBorders>
              <w:top w:val="single" w:color="auto" w:sz="12" w:space="0"/>
              <w:left w:val="single" w:color="auto" w:sz="4" w:space="0"/>
              <w:bottom w:val="single" w:color="auto" w:sz="4" w:space="0"/>
              <w:right w:val="single" w:color="auto" w:sz="4" w:space="0"/>
            </w:tcBorders>
            <w:vAlign w:val="center"/>
          </w:tcPr>
          <w:p>
            <w:pPr>
              <w:snapToGrid w:val="0"/>
              <w:spacing w:line="300" w:lineRule="auto"/>
              <w:ind w:left="151" w:leftChars="72" w:right="267" w:rightChars="127"/>
              <w:rPr>
                <w:rFonts w:ascii="宋体" w:hAnsi="宋体"/>
                <w:b/>
                <w:bCs/>
                <w:color w:val="auto"/>
                <w:sz w:val="24"/>
              </w:rPr>
            </w:pPr>
            <w:r>
              <w:rPr>
                <w:rFonts w:hint="eastAsia" w:ascii="宋体" w:hAnsi="宋体"/>
                <w:b/>
                <w:bCs/>
                <w:color w:val="auto"/>
                <w:sz w:val="24"/>
              </w:rPr>
              <w:t>评分因素</w:t>
            </w:r>
          </w:p>
        </w:tc>
        <w:tc>
          <w:tcPr>
            <w:tcW w:w="1051" w:type="dxa"/>
            <w:tcBorders>
              <w:top w:val="single" w:color="auto" w:sz="12" w:space="0"/>
              <w:left w:val="single" w:color="auto" w:sz="4" w:space="0"/>
              <w:bottom w:val="single" w:color="auto" w:sz="4" w:space="0"/>
              <w:right w:val="single" w:color="auto" w:sz="4" w:space="0"/>
            </w:tcBorders>
            <w:vAlign w:val="center"/>
          </w:tcPr>
          <w:p>
            <w:pPr>
              <w:snapToGrid w:val="0"/>
              <w:spacing w:line="300" w:lineRule="auto"/>
              <w:ind w:right="267" w:rightChars="127"/>
              <w:rPr>
                <w:rFonts w:ascii="宋体" w:hAnsi="宋体"/>
                <w:b/>
                <w:bCs/>
                <w:color w:val="auto"/>
                <w:sz w:val="24"/>
              </w:rPr>
            </w:pPr>
            <w:r>
              <w:rPr>
                <w:rFonts w:hint="eastAsia" w:ascii="宋体" w:hAnsi="宋体"/>
                <w:b/>
                <w:bCs/>
                <w:color w:val="auto"/>
                <w:sz w:val="24"/>
              </w:rPr>
              <w:t>分值</w:t>
            </w:r>
          </w:p>
        </w:tc>
        <w:tc>
          <w:tcPr>
            <w:tcW w:w="5304" w:type="dxa"/>
            <w:tcBorders>
              <w:top w:val="single" w:color="auto" w:sz="12" w:space="0"/>
              <w:left w:val="single" w:color="auto" w:sz="4" w:space="0"/>
              <w:bottom w:val="single" w:color="auto" w:sz="4" w:space="0"/>
              <w:right w:val="single" w:color="auto" w:sz="12" w:space="0"/>
            </w:tcBorders>
            <w:vAlign w:val="center"/>
          </w:tcPr>
          <w:p>
            <w:pPr>
              <w:snapToGrid w:val="0"/>
              <w:spacing w:line="300" w:lineRule="auto"/>
              <w:ind w:left="151" w:leftChars="72" w:right="267" w:rightChars="127"/>
              <w:rPr>
                <w:rFonts w:ascii="宋体" w:hAnsi="宋体"/>
                <w:b/>
                <w:bCs/>
                <w:color w:val="auto"/>
                <w:sz w:val="24"/>
              </w:rPr>
            </w:pPr>
            <w:r>
              <w:rPr>
                <w:rFonts w:hint="eastAsia" w:ascii="宋体" w:hAnsi="宋体"/>
                <w:b/>
                <w:bCs/>
                <w:color w:val="auto"/>
                <w:sz w:val="24"/>
              </w:rPr>
              <w:t>评分标准说明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02" w:hRule="atLeast"/>
          <w:jc w:val="center"/>
        </w:trPr>
        <w:tc>
          <w:tcPr>
            <w:tcW w:w="816" w:type="dxa"/>
            <w:tcBorders>
              <w:top w:val="single" w:color="auto" w:sz="4" w:space="0"/>
              <w:left w:val="single" w:color="auto" w:sz="12" w:space="0"/>
              <w:right w:val="single" w:color="auto" w:sz="4" w:space="0"/>
            </w:tcBorders>
            <w:vAlign w:val="center"/>
          </w:tcPr>
          <w:p>
            <w:pPr>
              <w:snapToGrid w:val="0"/>
              <w:spacing w:line="300" w:lineRule="auto"/>
              <w:ind w:left="151" w:leftChars="72" w:right="267" w:rightChars="127"/>
              <w:rPr>
                <w:rFonts w:ascii="宋体" w:hAnsi="宋体"/>
                <w:b/>
                <w:bCs/>
                <w:color w:val="auto"/>
                <w:sz w:val="24"/>
              </w:rPr>
            </w:pPr>
            <w:r>
              <w:rPr>
                <w:rFonts w:ascii="宋体" w:hAnsi="宋体"/>
                <w:b/>
                <w:bCs/>
                <w:color w:val="auto"/>
                <w:sz w:val="24"/>
              </w:rPr>
              <w:t>B1</w:t>
            </w:r>
          </w:p>
        </w:tc>
        <w:tc>
          <w:tcPr>
            <w:tcW w:w="2053" w:type="dxa"/>
            <w:tcBorders>
              <w:top w:val="single" w:color="auto" w:sz="4" w:space="0"/>
              <w:left w:val="single" w:color="auto" w:sz="4" w:space="0"/>
              <w:right w:val="single" w:color="auto" w:sz="4" w:space="0"/>
            </w:tcBorders>
            <w:vAlign w:val="center"/>
          </w:tcPr>
          <w:p>
            <w:pPr>
              <w:snapToGrid w:val="0"/>
              <w:spacing w:line="300" w:lineRule="auto"/>
              <w:ind w:left="151" w:leftChars="72" w:right="267" w:rightChars="127"/>
              <w:rPr>
                <w:rFonts w:ascii="宋体" w:hAnsi="宋体"/>
                <w:b/>
                <w:bCs/>
                <w:color w:val="auto"/>
                <w:sz w:val="24"/>
              </w:rPr>
            </w:pPr>
            <w:r>
              <w:rPr>
                <w:rFonts w:hint="eastAsia" w:ascii="宋体" w:hAnsi="宋体"/>
                <w:b/>
                <w:bCs/>
                <w:color w:val="auto"/>
                <w:sz w:val="24"/>
              </w:rPr>
              <w:t>技术水平</w:t>
            </w:r>
          </w:p>
        </w:tc>
        <w:tc>
          <w:tcPr>
            <w:tcW w:w="1051"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left="151" w:leftChars="72" w:right="267" w:rightChars="127"/>
              <w:rPr>
                <w:rFonts w:hint="eastAsia" w:ascii="宋体" w:hAnsi="宋体"/>
                <w:b/>
                <w:bCs/>
                <w:color w:val="auto"/>
                <w:sz w:val="24"/>
              </w:rPr>
            </w:pPr>
            <w:r>
              <w:rPr>
                <w:rFonts w:hint="eastAsia" w:ascii="宋体" w:hAnsi="宋体"/>
                <w:b/>
                <w:bCs/>
                <w:color w:val="auto"/>
                <w:sz w:val="24"/>
              </w:rPr>
              <w:t>5</w:t>
            </w:r>
          </w:p>
        </w:tc>
        <w:tc>
          <w:tcPr>
            <w:tcW w:w="5304" w:type="dxa"/>
            <w:tcBorders>
              <w:top w:val="single" w:color="auto" w:sz="4" w:space="0"/>
              <w:left w:val="single" w:color="auto" w:sz="4" w:space="0"/>
              <w:bottom w:val="single" w:color="auto" w:sz="4" w:space="0"/>
              <w:right w:val="single" w:color="auto" w:sz="12" w:space="0"/>
            </w:tcBorders>
            <w:vAlign w:val="center"/>
          </w:tcPr>
          <w:p>
            <w:pPr>
              <w:snapToGrid w:val="0"/>
              <w:spacing w:line="300" w:lineRule="auto"/>
              <w:ind w:left="151" w:leftChars="72" w:right="267" w:rightChars="127"/>
              <w:rPr>
                <w:rFonts w:hint="eastAsia" w:ascii="宋体" w:hAnsi="宋体"/>
                <w:b/>
                <w:bCs/>
                <w:color w:val="auto"/>
                <w:sz w:val="24"/>
              </w:rPr>
            </w:pPr>
            <w:r>
              <w:rPr>
                <w:rFonts w:hint="eastAsia" w:ascii="宋体" w:hAnsi="宋体"/>
                <w:b/>
                <w:bCs/>
                <w:color w:val="auto"/>
                <w:sz w:val="24"/>
              </w:rPr>
              <w:t>根据所投产品生产工艺技术水平进行评价，分三档进行评价打分：</w:t>
            </w:r>
            <w:r>
              <w:rPr>
                <w:rFonts w:hint="eastAsia" w:ascii="宋体" w:hAnsi="宋体"/>
                <w:b/>
                <w:bCs/>
                <w:color w:val="auto"/>
                <w:sz w:val="24"/>
                <w:lang w:eastAsia="zh-CN"/>
              </w:rPr>
              <w:t>好</w:t>
            </w:r>
            <w:r>
              <w:rPr>
                <w:rFonts w:hint="eastAsia" w:ascii="宋体" w:hAnsi="宋体"/>
                <w:b/>
                <w:bCs/>
                <w:color w:val="auto"/>
                <w:sz w:val="24"/>
                <w:lang w:val="en-US" w:eastAsia="zh-CN"/>
              </w:rPr>
              <w:t xml:space="preserve"> </w:t>
            </w:r>
            <w:r>
              <w:rPr>
                <w:rFonts w:hint="eastAsia" w:ascii="宋体" w:hAnsi="宋体"/>
                <w:b/>
                <w:bCs/>
                <w:color w:val="auto"/>
                <w:sz w:val="24"/>
              </w:rPr>
              <w:t>（5分）；</w:t>
            </w:r>
            <w:r>
              <w:rPr>
                <w:rFonts w:hint="eastAsia" w:ascii="宋体" w:hAnsi="宋体"/>
                <w:b/>
                <w:bCs/>
                <w:color w:val="auto"/>
                <w:sz w:val="24"/>
                <w:lang w:eastAsia="zh-CN"/>
              </w:rPr>
              <w:t>较好</w:t>
            </w:r>
            <w:r>
              <w:rPr>
                <w:rFonts w:hint="eastAsia" w:ascii="宋体" w:hAnsi="宋体"/>
                <w:b/>
                <w:bCs/>
                <w:color w:val="auto"/>
                <w:sz w:val="24"/>
              </w:rPr>
              <w:t>（3分）；</w:t>
            </w:r>
            <w:r>
              <w:rPr>
                <w:rFonts w:hint="eastAsia" w:ascii="宋体" w:hAnsi="宋体"/>
                <w:b/>
                <w:bCs/>
                <w:color w:val="auto"/>
                <w:sz w:val="24"/>
                <w:lang w:eastAsia="zh-CN"/>
              </w:rPr>
              <w:t>一般</w:t>
            </w:r>
            <w:r>
              <w:rPr>
                <w:rFonts w:hint="eastAsia" w:ascii="宋体" w:hAnsi="宋体"/>
                <w:b/>
                <w:bCs/>
                <w:color w:val="auto"/>
                <w:sz w:val="24"/>
              </w:rPr>
              <w:t>（1分）。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37" w:hRule="atLeast"/>
          <w:jc w:val="center"/>
        </w:trPr>
        <w:tc>
          <w:tcPr>
            <w:tcW w:w="816" w:type="dxa"/>
            <w:vMerge w:val="restart"/>
            <w:tcBorders>
              <w:top w:val="single" w:color="auto" w:sz="4" w:space="0"/>
              <w:left w:val="single" w:color="auto" w:sz="12" w:space="0"/>
              <w:right w:val="single" w:color="auto" w:sz="4" w:space="0"/>
            </w:tcBorders>
            <w:vAlign w:val="center"/>
          </w:tcPr>
          <w:p>
            <w:pPr>
              <w:snapToGrid w:val="0"/>
              <w:spacing w:line="300" w:lineRule="auto"/>
              <w:ind w:left="151" w:leftChars="72" w:right="267" w:rightChars="127"/>
              <w:rPr>
                <w:rFonts w:hint="eastAsia" w:ascii="宋体" w:hAnsi="宋体"/>
                <w:b/>
                <w:bCs/>
                <w:color w:val="auto"/>
                <w:sz w:val="24"/>
              </w:rPr>
            </w:pPr>
            <w:r>
              <w:rPr>
                <w:rFonts w:ascii="宋体" w:hAnsi="宋体"/>
                <w:b/>
                <w:bCs/>
                <w:color w:val="auto"/>
                <w:sz w:val="24"/>
              </w:rPr>
              <w:t>B</w:t>
            </w:r>
            <w:r>
              <w:rPr>
                <w:rFonts w:hint="eastAsia" w:ascii="宋体" w:hAnsi="宋体"/>
                <w:b/>
                <w:bCs/>
                <w:color w:val="auto"/>
                <w:sz w:val="24"/>
              </w:rPr>
              <w:t>2</w:t>
            </w:r>
          </w:p>
        </w:tc>
        <w:tc>
          <w:tcPr>
            <w:tcW w:w="2053" w:type="dxa"/>
            <w:vMerge w:val="restart"/>
            <w:tcBorders>
              <w:top w:val="single" w:color="auto" w:sz="4" w:space="0"/>
              <w:left w:val="single" w:color="auto" w:sz="4" w:space="0"/>
              <w:right w:val="single" w:color="auto" w:sz="4" w:space="0"/>
            </w:tcBorders>
            <w:vAlign w:val="center"/>
          </w:tcPr>
          <w:p>
            <w:pPr>
              <w:snapToGrid w:val="0"/>
              <w:spacing w:line="300" w:lineRule="auto"/>
              <w:ind w:left="151" w:leftChars="72" w:right="267" w:rightChars="127"/>
              <w:rPr>
                <w:rFonts w:ascii="宋体" w:hAnsi="宋体"/>
                <w:b/>
                <w:bCs/>
                <w:color w:val="auto"/>
                <w:sz w:val="24"/>
              </w:rPr>
            </w:pPr>
            <w:r>
              <w:rPr>
                <w:rFonts w:hint="eastAsia" w:ascii="宋体" w:hAnsi="宋体"/>
                <w:b/>
                <w:bCs/>
                <w:color w:val="auto"/>
                <w:sz w:val="24"/>
              </w:rPr>
              <w:t>产品性能及系统功能</w:t>
            </w:r>
          </w:p>
        </w:tc>
        <w:tc>
          <w:tcPr>
            <w:tcW w:w="1051" w:type="dxa"/>
            <w:vMerge w:val="restart"/>
            <w:tcBorders>
              <w:top w:val="single" w:color="auto" w:sz="4" w:space="0"/>
              <w:left w:val="single" w:color="auto" w:sz="4" w:space="0"/>
              <w:right w:val="single" w:color="auto" w:sz="4" w:space="0"/>
            </w:tcBorders>
            <w:vAlign w:val="center"/>
          </w:tcPr>
          <w:p>
            <w:pPr>
              <w:snapToGrid w:val="0"/>
              <w:spacing w:line="300" w:lineRule="auto"/>
              <w:ind w:left="151" w:leftChars="72" w:right="267" w:rightChars="127"/>
              <w:rPr>
                <w:rFonts w:hint="eastAsia" w:ascii="宋体" w:hAnsi="宋体"/>
                <w:b/>
                <w:bCs/>
                <w:color w:val="auto"/>
                <w:sz w:val="24"/>
              </w:rPr>
            </w:pPr>
            <w:r>
              <w:rPr>
                <w:rFonts w:hint="eastAsia" w:ascii="宋体" w:hAnsi="宋体"/>
                <w:b/>
                <w:bCs/>
                <w:color w:val="auto"/>
                <w:sz w:val="24"/>
              </w:rPr>
              <w:t>35</w:t>
            </w:r>
          </w:p>
        </w:tc>
        <w:tc>
          <w:tcPr>
            <w:tcW w:w="5304" w:type="dxa"/>
            <w:tcBorders>
              <w:top w:val="single" w:color="auto" w:sz="4" w:space="0"/>
              <w:left w:val="single" w:color="auto" w:sz="4" w:space="0"/>
              <w:bottom w:val="single" w:color="auto" w:sz="4" w:space="0"/>
              <w:right w:val="single" w:color="auto" w:sz="12" w:space="0"/>
            </w:tcBorders>
            <w:vAlign w:val="center"/>
          </w:tcPr>
          <w:p>
            <w:pPr>
              <w:snapToGrid w:val="0"/>
              <w:spacing w:line="300" w:lineRule="auto"/>
              <w:ind w:left="151" w:leftChars="72" w:right="267" w:rightChars="127"/>
              <w:rPr>
                <w:rFonts w:hint="eastAsia" w:ascii="宋体" w:hAnsi="宋体"/>
                <w:b/>
                <w:bCs/>
                <w:color w:val="auto"/>
                <w:sz w:val="24"/>
              </w:rPr>
            </w:pPr>
            <w:r>
              <w:rPr>
                <w:rFonts w:hint="eastAsia" w:ascii="宋体" w:hAnsi="宋体"/>
                <w:b/>
                <w:bCs/>
                <w:color w:val="auto"/>
                <w:sz w:val="24"/>
              </w:rPr>
              <w:t>根据所投产品的性</w:t>
            </w:r>
            <w:r>
              <w:rPr>
                <w:rFonts w:ascii="宋体" w:hAnsi="宋体"/>
                <w:b/>
                <w:bCs/>
                <w:color w:val="auto"/>
                <w:sz w:val="24"/>
              </w:rPr>
              <w:t>能</w:t>
            </w:r>
            <w:r>
              <w:rPr>
                <w:rFonts w:hint="eastAsia" w:ascii="宋体" w:hAnsi="宋体"/>
                <w:b/>
                <w:bCs/>
                <w:color w:val="auto"/>
                <w:sz w:val="24"/>
              </w:rPr>
              <w:t>、精度进行评价打分：</w:t>
            </w:r>
            <w:r>
              <w:rPr>
                <w:rFonts w:hint="eastAsia" w:ascii="宋体" w:hAnsi="宋体"/>
                <w:b/>
                <w:bCs/>
                <w:color w:val="auto"/>
                <w:sz w:val="24"/>
                <w:lang w:eastAsia="zh-CN"/>
              </w:rPr>
              <w:t>好</w:t>
            </w:r>
            <w:r>
              <w:rPr>
                <w:rFonts w:hint="eastAsia" w:ascii="宋体" w:hAnsi="宋体"/>
                <w:b/>
                <w:bCs/>
                <w:color w:val="auto"/>
                <w:sz w:val="24"/>
              </w:rPr>
              <w:t>（</w:t>
            </w:r>
            <w:r>
              <w:rPr>
                <w:rFonts w:hint="eastAsia" w:ascii="宋体" w:hAnsi="宋体"/>
                <w:b/>
                <w:bCs/>
                <w:color w:val="auto"/>
                <w:sz w:val="24"/>
                <w:lang w:val="en-US" w:eastAsia="zh-CN"/>
              </w:rPr>
              <w:t>11</w:t>
            </w:r>
            <w:r>
              <w:rPr>
                <w:rFonts w:hint="eastAsia" w:ascii="宋体" w:hAnsi="宋体"/>
                <w:b/>
                <w:bCs/>
                <w:color w:val="auto"/>
                <w:sz w:val="24"/>
              </w:rPr>
              <w:t>分）；</w:t>
            </w:r>
            <w:r>
              <w:rPr>
                <w:rFonts w:hint="eastAsia" w:ascii="宋体" w:hAnsi="宋体"/>
                <w:b/>
                <w:bCs/>
                <w:color w:val="auto"/>
                <w:sz w:val="24"/>
                <w:lang w:eastAsia="zh-CN"/>
              </w:rPr>
              <w:t>较好</w:t>
            </w:r>
            <w:r>
              <w:rPr>
                <w:rFonts w:hint="eastAsia" w:ascii="宋体" w:hAnsi="宋体"/>
                <w:b/>
                <w:bCs/>
                <w:color w:val="auto"/>
                <w:sz w:val="24"/>
              </w:rPr>
              <w:t>（</w:t>
            </w:r>
            <w:r>
              <w:rPr>
                <w:rFonts w:hint="eastAsia" w:ascii="宋体" w:hAnsi="宋体"/>
                <w:b/>
                <w:bCs/>
                <w:color w:val="auto"/>
                <w:sz w:val="24"/>
                <w:lang w:val="en-US" w:eastAsia="zh-CN"/>
              </w:rPr>
              <w:t>6</w:t>
            </w:r>
            <w:r>
              <w:rPr>
                <w:rFonts w:hint="eastAsia" w:ascii="宋体" w:hAnsi="宋体"/>
                <w:b/>
                <w:bCs/>
                <w:color w:val="auto"/>
                <w:sz w:val="24"/>
              </w:rPr>
              <w:t>分）；</w:t>
            </w:r>
            <w:r>
              <w:rPr>
                <w:rFonts w:hint="eastAsia" w:ascii="宋体" w:hAnsi="宋体"/>
                <w:b/>
                <w:bCs/>
                <w:color w:val="auto"/>
                <w:sz w:val="24"/>
                <w:lang w:eastAsia="zh-CN"/>
              </w:rPr>
              <w:t>一般</w:t>
            </w:r>
            <w:r>
              <w:rPr>
                <w:rFonts w:hint="eastAsia" w:ascii="宋体" w:hAnsi="宋体"/>
                <w:b/>
                <w:bCs/>
                <w:color w:val="auto"/>
                <w:sz w:val="24"/>
              </w:rPr>
              <w:t>（</w:t>
            </w:r>
            <w:r>
              <w:rPr>
                <w:rFonts w:hint="eastAsia" w:ascii="宋体" w:hAnsi="宋体"/>
                <w:b/>
                <w:bCs/>
                <w:color w:val="auto"/>
                <w:sz w:val="24"/>
                <w:lang w:val="en-US" w:eastAsia="zh-CN"/>
              </w:rPr>
              <w:t>3</w:t>
            </w:r>
            <w:r>
              <w:rPr>
                <w:rFonts w:hint="eastAsia" w:ascii="宋体" w:hAnsi="宋体"/>
                <w:b/>
                <w:bCs/>
                <w:color w:val="auto"/>
                <w:sz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37" w:hRule="atLeast"/>
          <w:jc w:val="center"/>
        </w:trPr>
        <w:tc>
          <w:tcPr>
            <w:tcW w:w="816" w:type="dxa"/>
            <w:vMerge w:val="continue"/>
            <w:tcBorders>
              <w:left w:val="single" w:color="auto" w:sz="12" w:space="0"/>
              <w:right w:val="single" w:color="auto" w:sz="4" w:space="0"/>
            </w:tcBorders>
            <w:vAlign w:val="center"/>
          </w:tcPr>
          <w:p>
            <w:pPr>
              <w:snapToGrid w:val="0"/>
              <w:spacing w:line="300" w:lineRule="auto"/>
              <w:ind w:left="151" w:leftChars="72" w:right="267" w:rightChars="127"/>
            </w:pPr>
          </w:p>
        </w:tc>
        <w:tc>
          <w:tcPr>
            <w:tcW w:w="2053" w:type="dxa"/>
            <w:vMerge w:val="continue"/>
            <w:tcBorders>
              <w:left w:val="single" w:color="auto" w:sz="4" w:space="0"/>
              <w:right w:val="single" w:color="auto" w:sz="4" w:space="0"/>
            </w:tcBorders>
            <w:vAlign w:val="center"/>
          </w:tcPr>
          <w:p>
            <w:pPr>
              <w:snapToGrid w:val="0"/>
              <w:spacing w:line="300" w:lineRule="auto"/>
              <w:ind w:left="151" w:leftChars="72" w:right="267" w:rightChars="127"/>
            </w:pPr>
          </w:p>
        </w:tc>
        <w:tc>
          <w:tcPr>
            <w:tcW w:w="1051" w:type="dxa"/>
            <w:vMerge w:val="continue"/>
            <w:tcBorders>
              <w:left w:val="single" w:color="auto" w:sz="4" w:space="0"/>
              <w:right w:val="single" w:color="auto" w:sz="4" w:space="0"/>
            </w:tcBorders>
            <w:vAlign w:val="center"/>
          </w:tcPr>
          <w:p>
            <w:pPr>
              <w:snapToGrid w:val="0"/>
              <w:spacing w:line="300" w:lineRule="auto"/>
              <w:ind w:left="151" w:leftChars="72" w:right="267" w:rightChars="127"/>
            </w:pPr>
          </w:p>
        </w:tc>
        <w:tc>
          <w:tcPr>
            <w:tcW w:w="5304" w:type="dxa"/>
            <w:tcBorders>
              <w:top w:val="single" w:color="auto" w:sz="4" w:space="0"/>
              <w:left w:val="single" w:color="auto" w:sz="4" w:space="0"/>
              <w:bottom w:val="single" w:color="auto" w:sz="4" w:space="0"/>
              <w:right w:val="single" w:color="auto" w:sz="12" w:space="0"/>
            </w:tcBorders>
            <w:vAlign w:val="center"/>
          </w:tcPr>
          <w:p>
            <w:pPr>
              <w:snapToGrid w:val="0"/>
              <w:spacing w:line="300" w:lineRule="auto"/>
              <w:ind w:left="151" w:leftChars="72" w:right="267" w:rightChars="127"/>
              <w:rPr>
                <w:rFonts w:hint="eastAsia" w:ascii="宋体" w:hAnsi="宋体"/>
                <w:b/>
                <w:bCs/>
                <w:color w:val="auto"/>
                <w:sz w:val="24"/>
              </w:rPr>
            </w:pPr>
            <w:r>
              <w:rPr>
                <w:rFonts w:hint="eastAsia" w:ascii="宋体" w:hAnsi="宋体"/>
                <w:b/>
                <w:bCs/>
                <w:color w:val="auto"/>
                <w:sz w:val="24"/>
              </w:rPr>
              <w:t>根据所投产品的可靠性、稳定性等是否优良进行评价打分：</w:t>
            </w:r>
            <w:r>
              <w:rPr>
                <w:rFonts w:hint="eastAsia" w:ascii="宋体" w:hAnsi="宋体"/>
                <w:b/>
                <w:bCs/>
                <w:color w:val="auto"/>
                <w:sz w:val="24"/>
                <w:lang w:eastAsia="zh-CN"/>
              </w:rPr>
              <w:t>好</w:t>
            </w:r>
            <w:r>
              <w:rPr>
                <w:rFonts w:hint="eastAsia" w:ascii="宋体" w:hAnsi="宋体"/>
                <w:b/>
                <w:bCs/>
                <w:color w:val="auto"/>
                <w:sz w:val="24"/>
              </w:rPr>
              <w:t>（</w:t>
            </w:r>
            <w:r>
              <w:rPr>
                <w:rFonts w:hint="eastAsia" w:ascii="宋体" w:hAnsi="宋体"/>
                <w:b/>
                <w:bCs/>
                <w:color w:val="auto"/>
                <w:sz w:val="24"/>
                <w:lang w:val="en-US" w:eastAsia="zh-CN"/>
              </w:rPr>
              <w:t>12</w:t>
            </w:r>
            <w:r>
              <w:rPr>
                <w:rFonts w:hint="eastAsia" w:ascii="宋体" w:hAnsi="宋体"/>
                <w:b/>
                <w:bCs/>
                <w:color w:val="auto"/>
                <w:sz w:val="24"/>
              </w:rPr>
              <w:t>分）；</w:t>
            </w:r>
            <w:r>
              <w:rPr>
                <w:rFonts w:hint="eastAsia" w:ascii="宋体" w:hAnsi="宋体"/>
                <w:b/>
                <w:bCs/>
                <w:color w:val="auto"/>
                <w:sz w:val="24"/>
                <w:lang w:eastAsia="zh-CN"/>
              </w:rPr>
              <w:t>较好</w:t>
            </w:r>
            <w:r>
              <w:rPr>
                <w:rFonts w:hint="eastAsia" w:ascii="宋体" w:hAnsi="宋体"/>
                <w:b/>
                <w:bCs/>
                <w:color w:val="auto"/>
                <w:sz w:val="24"/>
              </w:rPr>
              <w:t>（</w:t>
            </w:r>
            <w:r>
              <w:rPr>
                <w:rFonts w:hint="eastAsia" w:ascii="宋体" w:hAnsi="宋体"/>
                <w:b/>
                <w:bCs/>
                <w:color w:val="auto"/>
                <w:sz w:val="24"/>
                <w:lang w:val="en-US" w:eastAsia="zh-CN"/>
              </w:rPr>
              <w:t>7</w:t>
            </w:r>
            <w:r>
              <w:rPr>
                <w:rFonts w:hint="eastAsia" w:ascii="宋体" w:hAnsi="宋体"/>
                <w:b/>
                <w:bCs/>
                <w:color w:val="auto"/>
                <w:sz w:val="24"/>
              </w:rPr>
              <w:t>分）；</w:t>
            </w:r>
            <w:r>
              <w:rPr>
                <w:rFonts w:hint="eastAsia" w:ascii="宋体" w:hAnsi="宋体"/>
                <w:b/>
                <w:bCs/>
                <w:color w:val="auto"/>
                <w:sz w:val="24"/>
                <w:lang w:eastAsia="zh-CN"/>
              </w:rPr>
              <w:t>一般</w:t>
            </w:r>
            <w:r>
              <w:rPr>
                <w:rFonts w:hint="eastAsia" w:ascii="宋体" w:hAnsi="宋体"/>
                <w:b/>
                <w:bCs/>
                <w:color w:val="auto"/>
                <w:sz w:val="24"/>
              </w:rPr>
              <w:t>（</w:t>
            </w:r>
            <w:r>
              <w:rPr>
                <w:rFonts w:hint="eastAsia" w:ascii="宋体" w:hAnsi="宋体"/>
                <w:b/>
                <w:bCs/>
                <w:color w:val="auto"/>
                <w:sz w:val="24"/>
                <w:lang w:val="en-US" w:eastAsia="zh-CN"/>
              </w:rPr>
              <w:t>4</w:t>
            </w:r>
            <w:r>
              <w:rPr>
                <w:rFonts w:hint="eastAsia" w:ascii="宋体" w:hAnsi="宋体"/>
                <w:b/>
                <w:bCs/>
                <w:color w:val="auto"/>
                <w:sz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37" w:hRule="atLeast"/>
          <w:jc w:val="center"/>
        </w:trPr>
        <w:tc>
          <w:tcPr>
            <w:tcW w:w="816" w:type="dxa"/>
            <w:vMerge w:val="continue"/>
            <w:tcBorders>
              <w:left w:val="single" w:color="auto" w:sz="12" w:space="0"/>
              <w:bottom w:val="single" w:color="auto" w:sz="4" w:space="0"/>
              <w:right w:val="single" w:color="auto" w:sz="4" w:space="0"/>
            </w:tcBorders>
            <w:vAlign w:val="center"/>
          </w:tcPr>
          <w:p>
            <w:pPr>
              <w:snapToGrid w:val="0"/>
              <w:spacing w:line="300" w:lineRule="auto"/>
              <w:ind w:left="151" w:leftChars="72" w:right="267" w:rightChars="127"/>
              <w:rPr>
                <w:rFonts w:hint="eastAsia" w:ascii="宋体" w:hAnsi="宋体"/>
                <w:b/>
                <w:bCs/>
                <w:color w:val="auto"/>
                <w:sz w:val="24"/>
              </w:rPr>
            </w:pPr>
          </w:p>
        </w:tc>
        <w:tc>
          <w:tcPr>
            <w:tcW w:w="2053" w:type="dxa"/>
            <w:vMerge w:val="continue"/>
            <w:tcBorders>
              <w:left w:val="single" w:color="auto" w:sz="4" w:space="0"/>
              <w:bottom w:val="single" w:color="auto" w:sz="4" w:space="0"/>
              <w:right w:val="single" w:color="auto" w:sz="4" w:space="0"/>
            </w:tcBorders>
            <w:vAlign w:val="center"/>
          </w:tcPr>
          <w:p>
            <w:pPr>
              <w:snapToGrid w:val="0"/>
              <w:spacing w:line="300" w:lineRule="auto"/>
              <w:ind w:left="151" w:leftChars="72" w:right="267" w:rightChars="127"/>
              <w:rPr>
                <w:rFonts w:hint="eastAsia" w:ascii="宋体" w:hAnsi="宋体"/>
                <w:b/>
                <w:bCs/>
                <w:color w:val="auto"/>
                <w:sz w:val="24"/>
              </w:rPr>
            </w:pPr>
          </w:p>
        </w:tc>
        <w:tc>
          <w:tcPr>
            <w:tcW w:w="1051" w:type="dxa"/>
            <w:vMerge w:val="continue"/>
            <w:tcBorders>
              <w:left w:val="single" w:color="auto" w:sz="4" w:space="0"/>
              <w:bottom w:val="single" w:color="auto" w:sz="4" w:space="0"/>
              <w:right w:val="single" w:color="auto" w:sz="4" w:space="0"/>
            </w:tcBorders>
            <w:vAlign w:val="center"/>
          </w:tcPr>
          <w:p>
            <w:pPr>
              <w:snapToGrid w:val="0"/>
              <w:spacing w:line="300" w:lineRule="auto"/>
              <w:ind w:left="151" w:leftChars="72" w:right="267" w:rightChars="127"/>
              <w:rPr>
                <w:rFonts w:hint="eastAsia" w:ascii="宋体" w:hAnsi="宋体"/>
                <w:b/>
                <w:bCs/>
                <w:color w:val="auto"/>
                <w:sz w:val="24"/>
              </w:rPr>
            </w:pPr>
          </w:p>
        </w:tc>
        <w:tc>
          <w:tcPr>
            <w:tcW w:w="5304" w:type="dxa"/>
            <w:tcBorders>
              <w:top w:val="single" w:color="auto" w:sz="4" w:space="0"/>
              <w:left w:val="single" w:color="auto" w:sz="4" w:space="0"/>
              <w:bottom w:val="single" w:color="auto" w:sz="4" w:space="0"/>
              <w:right w:val="single" w:color="auto" w:sz="12" w:space="0"/>
            </w:tcBorders>
            <w:vAlign w:val="center"/>
          </w:tcPr>
          <w:p>
            <w:pPr>
              <w:snapToGrid w:val="0"/>
              <w:spacing w:line="300" w:lineRule="auto"/>
              <w:ind w:left="151" w:leftChars="72" w:right="267" w:rightChars="127"/>
              <w:rPr>
                <w:rFonts w:hint="eastAsia" w:ascii="宋体" w:hAnsi="宋体"/>
                <w:b/>
                <w:bCs/>
                <w:color w:val="auto"/>
                <w:sz w:val="24"/>
              </w:rPr>
            </w:pPr>
            <w:r>
              <w:rPr>
                <w:rFonts w:hint="eastAsia" w:ascii="宋体" w:hAnsi="宋体"/>
                <w:b/>
                <w:bCs/>
                <w:color w:val="auto"/>
                <w:sz w:val="24"/>
              </w:rPr>
              <w:t>根据所投产品的</w:t>
            </w:r>
            <w:r>
              <w:rPr>
                <w:rFonts w:ascii="宋体" w:hAnsi="宋体"/>
                <w:b/>
                <w:bCs/>
                <w:color w:val="auto"/>
                <w:sz w:val="24"/>
              </w:rPr>
              <w:t>功能</w:t>
            </w:r>
            <w:r>
              <w:rPr>
                <w:rFonts w:hint="eastAsia" w:ascii="宋体" w:hAnsi="宋体"/>
                <w:b/>
                <w:bCs/>
                <w:color w:val="auto"/>
                <w:sz w:val="24"/>
              </w:rPr>
              <w:t>是否齐全，是否完全</w:t>
            </w:r>
            <w:r>
              <w:rPr>
                <w:rFonts w:ascii="宋体" w:hAnsi="宋体"/>
                <w:b/>
                <w:bCs/>
                <w:color w:val="auto"/>
                <w:sz w:val="24"/>
              </w:rPr>
              <w:t>满足招标文件要求</w:t>
            </w:r>
            <w:r>
              <w:rPr>
                <w:rFonts w:hint="eastAsia" w:ascii="宋体" w:hAnsi="宋体"/>
                <w:b/>
                <w:bCs/>
                <w:color w:val="auto"/>
                <w:sz w:val="24"/>
              </w:rPr>
              <w:t>，是否有偏离进行评价打分：</w:t>
            </w:r>
            <w:r>
              <w:rPr>
                <w:rFonts w:hint="eastAsia" w:ascii="宋体" w:hAnsi="宋体"/>
                <w:b/>
                <w:bCs/>
                <w:color w:val="auto"/>
                <w:sz w:val="24"/>
                <w:lang w:eastAsia="zh-CN"/>
              </w:rPr>
              <w:t>好</w:t>
            </w:r>
            <w:r>
              <w:rPr>
                <w:rFonts w:hint="eastAsia" w:ascii="宋体" w:hAnsi="宋体"/>
                <w:b/>
                <w:bCs/>
                <w:color w:val="auto"/>
                <w:sz w:val="24"/>
              </w:rPr>
              <w:t>（</w:t>
            </w:r>
            <w:r>
              <w:rPr>
                <w:rFonts w:hint="eastAsia" w:ascii="宋体" w:hAnsi="宋体"/>
                <w:b/>
                <w:bCs/>
                <w:color w:val="auto"/>
                <w:sz w:val="24"/>
                <w:lang w:val="en-US" w:eastAsia="zh-CN"/>
              </w:rPr>
              <w:t>12</w:t>
            </w:r>
            <w:r>
              <w:rPr>
                <w:rFonts w:hint="eastAsia" w:ascii="宋体" w:hAnsi="宋体"/>
                <w:b/>
                <w:bCs/>
                <w:color w:val="auto"/>
                <w:sz w:val="24"/>
              </w:rPr>
              <w:t>分）；</w:t>
            </w:r>
            <w:r>
              <w:rPr>
                <w:rFonts w:hint="eastAsia" w:ascii="宋体" w:hAnsi="宋体"/>
                <w:b/>
                <w:bCs/>
                <w:color w:val="auto"/>
                <w:sz w:val="24"/>
                <w:lang w:eastAsia="zh-CN"/>
              </w:rPr>
              <w:t>较好</w:t>
            </w:r>
            <w:r>
              <w:rPr>
                <w:rFonts w:hint="eastAsia" w:ascii="宋体" w:hAnsi="宋体"/>
                <w:b/>
                <w:bCs/>
                <w:color w:val="auto"/>
                <w:sz w:val="24"/>
              </w:rPr>
              <w:t>（</w:t>
            </w:r>
            <w:r>
              <w:rPr>
                <w:rFonts w:hint="eastAsia" w:ascii="宋体" w:hAnsi="宋体"/>
                <w:b/>
                <w:bCs/>
                <w:color w:val="auto"/>
                <w:sz w:val="24"/>
                <w:lang w:val="en-US" w:eastAsia="zh-CN"/>
              </w:rPr>
              <w:t>7</w:t>
            </w:r>
            <w:r>
              <w:rPr>
                <w:rFonts w:hint="eastAsia" w:ascii="宋体" w:hAnsi="宋体"/>
                <w:b/>
                <w:bCs/>
                <w:color w:val="auto"/>
                <w:sz w:val="24"/>
              </w:rPr>
              <w:t>分）；</w:t>
            </w:r>
            <w:r>
              <w:rPr>
                <w:rFonts w:hint="eastAsia" w:ascii="宋体" w:hAnsi="宋体"/>
                <w:b/>
                <w:bCs/>
                <w:color w:val="auto"/>
                <w:sz w:val="24"/>
                <w:lang w:eastAsia="zh-CN"/>
              </w:rPr>
              <w:t>一般</w:t>
            </w:r>
            <w:r>
              <w:rPr>
                <w:rFonts w:hint="eastAsia" w:ascii="宋体" w:hAnsi="宋体"/>
                <w:b/>
                <w:bCs/>
                <w:color w:val="auto"/>
                <w:sz w:val="24"/>
              </w:rPr>
              <w:t>（</w:t>
            </w:r>
            <w:r>
              <w:rPr>
                <w:rFonts w:hint="eastAsia" w:ascii="宋体" w:hAnsi="宋体"/>
                <w:b/>
                <w:bCs/>
                <w:color w:val="auto"/>
                <w:sz w:val="24"/>
                <w:lang w:val="en-US" w:eastAsia="zh-CN"/>
              </w:rPr>
              <w:t>4</w:t>
            </w:r>
            <w:r>
              <w:rPr>
                <w:rFonts w:hint="eastAsia" w:ascii="宋体" w:hAnsi="宋体"/>
                <w:b/>
                <w:bCs/>
                <w:color w:val="auto"/>
                <w:sz w:val="24"/>
              </w:rPr>
              <w:t>分）。</w:t>
            </w:r>
          </w:p>
        </w:tc>
      </w:tr>
    </w:tbl>
    <w:p>
      <w:pPr>
        <w:snapToGrid w:val="0"/>
        <w:spacing w:line="300" w:lineRule="auto"/>
        <w:ind w:left="151" w:leftChars="72" w:right="267" w:rightChars="127"/>
        <w:rPr>
          <w:rFonts w:hint="eastAsia" w:ascii="宋体" w:hAnsi="宋体"/>
          <w:b/>
          <w:bCs/>
          <w:sz w:val="24"/>
        </w:rPr>
      </w:pPr>
    </w:p>
    <w:p>
      <w:pPr>
        <w:snapToGrid w:val="0"/>
        <w:spacing w:line="300" w:lineRule="auto"/>
        <w:ind w:left="151" w:leftChars="72" w:right="267" w:rightChars="127"/>
        <w:rPr>
          <w:rFonts w:ascii="宋体" w:hAnsi="宋体"/>
          <w:b/>
          <w:bCs/>
          <w:sz w:val="24"/>
        </w:rPr>
      </w:pPr>
      <w:r>
        <w:rPr>
          <w:rFonts w:hint="eastAsia" w:ascii="宋体" w:hAnsi="宋体"/>
          <w:b/>
          <w:bCs/>
          <w:sz w:val="24"/>
        </w:rPr>
        <w:t>C、商务部分：20分</w:t>
      </w:r>
    </w:p>
    <w:tbl>
      <w:tblPr>
        <w:tblStyle w:val="6"/>
        <w:tblW w:w="9480"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679"/>
        <w:gridCol w:w="1848"/>
        <w:gridCol w:w="797"/>
        <w:gridCol w:w="615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Ex>
        <w:trPr>
          <w:trHeight w:val="567" w:hRule="atLeast"/>
          <w:jc w:val="center"/>
        </w:trPr>
        <w:tc>
          <w:tcPr>
            <w:tcW w:w="679" w:type="dxa"/>
            <w:tcBorders>
              <w:top w:val="single" w:color="auto" w:sz="12" w:space="0"/>
              <w:left w:val="single" w:color="auto" w:sz="12" w:space="0"/>
              <w:bottom w:val="single" w:color="auto" w:sz="6" w:space="0"/>
              <w:right w:val="single" w:color="auto" w:sz="6" w:space="0"/>
            </w:tcBorders>
            <w:vAlign w:val="center"/>
          </w:tcPr>
          <w:p>
            <w:pPr>
              <w:snapToGrid w:val="0"/>
              <w:spacing w:line="300" w:lineRule="auto"/>
              <w:ind w:left="151" w:leftChars="72" w:right="267" w:rightChars="127"/>
              <w:rPr>
                <w:rFonts w:ascii="宋体" w:hAnsi="宋体"/>
                <w:b/>
                <w:bCs/>
                <w:sz w:val="24"/>
              </w:rPr>
            </w:pPr>
            <w:r>
              <w:rPr>
                <w:rFonts w:hint="eastAsia" w:ascii="宋体" w:hAnsi="宋体"/>
                <w:b/>
                <w:bCs/>
                <w:sz w:val="24"/>
              </w:rPr>
              <w:t>序号</w:t>
            </w:r>
          </w:p>
        </w:tc>
        <w:tc>
          <w:tcPr>
            <w:tcW w:w="1848" w:type="dxa"/>
            <w:tcBorders>
              <w:top w:val="single" w:color="auto" w:sz="12" w:space="0"/>
              <w:left w:val="single" w:color="auto" w:sz="6" w:space="0"/>
              <w:bottom w:val="single" w:color="auto" w:sz="6" w:space="0"/>
              <w:right w:val="single" w:color="auto" w:sz="6" w:space="0"/>
            </w:tcBorders>
            <w:vAlign w:val="center"/>
          </w:tcPr>
          <w:p>
            <w:pPr>
              <w:snapToGrid w:val="0"/>
              <w:spacing w:line="300" w:lineRule="auto"/>
              <w:ind w:left="151" w:leftChars="72" w:right="267" w:rightChars="127"/>
              <w:rPr>
                <w:rFonts w:ascii="宋体" w:hAnsi="宋体"/>
                <w:b/>
                <w:bCs/>
                <w:sz w:val="24"/>
              </w:rPr>
            </w:pPr>
            <w:r>
              <w:rPr>
                <w:rFonts w:hint="eastAsia" w:ascii="宋体" w:hAnsi="宋体"/>
                <w:b/>
                <w:bCs/>
                <w:sz w:val="24"/>
              </w:rPr>
              <w:t>评分因素</w:t>
            </w:r>
          </w:p>
        </w:tc>
        <w:tc>
          <w:tcPr>
            <w:tcW w:w="797" w:type="dxa"/>
            <w:tcBorders>
              <w:top w:val="single" w:color="auto" w:sz="12" w:space="0"/>
              <w:left w:val="single" w:color="auto" w:sz="6" w:space="0"/>
              <w:bottom w:val="single" w:color="auto" w:sz="6" w:space="0"/>
              <w:right w:val="single" w:color="auto" w:sz="6" w:space="0"/>
            </w:tcBorders>
            <w:vAlign w:val="center"/>
          </w:tcPr>
          <w:p>
            <w:pPr>
              <w:snapToGrid w:val="0"/>
              <w:spacing w:line="300" w:lineRule="auto"/>
              <w:ind w:left="151" w:leftChars="72" w:right="267" w:rightChars="127"/>
              <w:rPr>
                <w:rFonts w:ascii="宋体" w:hAnsi="宋体"/>
                <w:b/>
                <w:bCs/>
                <w:sz w:val="24"/>
              </w:rPr>
            </w:pPr>
            <w:r>
              <w:rPr>
                <w:rFonts w:hint="eastAsia" w:ascii="宋体" w:hAnsi="宋体"/>
                <w:b/>
                <w:bCs/>
                <w:sz w:val="24"/>
              </w:rPr>
              <w:t>分值</w:t>
            </w:r>
          </w:p>
        </w:tc>
        <w:tc>
          <w:tcPr>
            <w:tcW w:w="6156" w:type="dxa"/>
            <w:tcBorders>
              <w:top w:val="single" w:color="auto" w:sz="12" w:space="0"/>
              <w:left w:val="single" w:color="auto" w:sz="6" w:space="0"/>
              <w:bottom w:val="single" w:color="auto" w:sz="6" w:space="0"/>
              <w:right w:val="single" w:color="auto" w:sz="12" w:space="0"/>
            </w:tcBorders>
            <w:vAlign w:val="center"/>
          </w:tcPr>
          <w:p>
            <w:pPr>
              <w:snapToGrid w:val="0"/>
              <w:spacing w:line="300" w:lineRule="auto"/>
              <w:ind w:left="151" w:leftChars="72" w:right="267" w:rightChars="127"/>
              <w:rPr>
                <w:rFonts w:hint="eastAsia" w:ascii="宋体" w:hAnsi="宋体"/>
                <w:b/>
                <w:bCs/>
                <w:sz w:val="24"/>
              </w:rPr>
            </w:pPr>
          </w:p>
          <w:p>
            <w:pPr>
              <w:snapToGrid w:val="0"/>
              <w:spacing w:line="300" w:lineRule="auto"/>
              <w:ind w:left="151" w:leftChars="72" w:right="267" w:rightChars="127"/>
              <w:rPr>
                <w:rFonts w:hint="eastAsia" w:ascii="宋体" w:hAnsi="宋体"/>
                <w:b/>
                <w:bCs/>
                <w:sz w:val="24"/>
              </w:rPr>
            </w:pPr>
            <w:r>
              <w:rPr>
                <w:rFonts w:hint="eastAsia" w:ascii="宋体" w:hAnsi="宋体"/>
                <w:b/>
                <w:bCs/>
                <w:sz w:val="24"/>
              </w:rPr>
              <w:t>评分标准说明</w:t>
            </w:r>
          </w:p>
          <w:p>
            <w:pPr>
              <w:snapToGrid w:val="0"/>
              <w:spacing w:line="300" w:lineRule="auto"/>
              <w:ind w:right="267" w:rightChars="127"/>
              <w:rPr>
                <w:rFonts w:ascii="宋体" w:hAnsi="宋体"/>
                <w:b/>
                <w:bCs/>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Ex>
        <w:trPr>
          <w:trHeight w:val="567" w:hRule="atLeast"/>
          <w:jc w:val="center"/>
        </w:trPr>
        <w:tc>
          <w:tcPr>
            <w:tcW w:w="679" w:type="dxa"/>
            <w:tcBorders>
              <w:top w:val="single" w:color="auto" w:sz="6" w:space="0"/>
              <w:left w:val="single" w:color="auto" w:sz="12" w:space="0"/>
              <w:bottom w:val="single" w:color="auto" w:sz="6" w:space="0"/>
              <w:right w:val="single" w:color="auto" w:sz="4" w:space="0"/>
            </w:tcBorders>
            <w:vAlign w:val="center"/>
          </w:tcPr>
          <w:p>
            <w:pPr>
              <w:snapToGrid w:val="0"/>
              <w:spacing w:line="300" w:lineRule="auto"/>
              <w:ind w:left="151" w:leftChars="72" w:right="267" w:rightChars="127"/>
              <w:rPr>
                <w:rFonts w:hint="eastAsia" w:ascii="宋体" w:hAnsi="宋体"/>
                <w:b/>
                <w:bCs/>
                <w:sz w:val="24"/>
              </w:rPr>
            </w:pPr>
            <w:r>
              <w:rPr>
                <w:rFonts w:hint="eastAsia" w:ascii="宋体" w:hAnsi="宋体"/>
                <w:b/>
                <w:bCs/>
                <w:sz w:val="24"/>
              </w:rPr>
              <w:t>C1</w:t>
            </w:r>
          </w:p>
        </w:tc>
        <w:tc>
          <w:tcPr>
            <w:tcW w:w="1848" w:type="dxa"/>
            <w:tcBorders>
              <w:top w:val="single" w:color="auto" w:sz="6" w:space="0"/>
              <w:left w:val="single" w:color="auto" w:sz="4" w:space="0"/>
              <w:bottom w:val="single" w:color="auto" w:sz="6" w:space="0"/>
              <w:right w:val="single" w:color="auto" w:sz="6" w:space="0"/>
            </w:tcBorders>
            <w:vAlign w:val="center"/>
          </w:tcPr>
          <w:p>
            <w:pPr>
              <w:snapToGrid w:val="0"/>
              <w:spacing w:line="300" w:lineRule="auto"/>
              <w:ind w:left="151" w:leftChars="72" w:right="267" w:rightChars="127"/>
              <w:rPr>
                <w:rFonts w:hint="eastAsia" w:ascii="宋体" w:hAnsi="宋体"/>
                <w:b/>
                <w:bCs/>
                <w:sz w:val="24"/>
              </w:rPr>
            </w:pPr>
            <w:r>
              <w:rPr>
                <w:rFonts w:hint="eastAsia" w:ascii="宋体" w:hAnsi="宋体"/>
                <w:b/>
                <w:bCs/>
                <w:sz w:val="24"/>
              </w:rPr>
              <w:t>财务状况</w:t>
            </w:r>
          </w:p>
        </w:tc>
        <w:tc>
          <w:tcPr>
            <w:tcW w:w="797" w:type="dxa"/>
            <w:tcBorders>
              <w:top w:val="single" w:color="auto" w:sz="6" w:space="0"/>
              <w:left w:val="single" w:color="auto" w:sz="6" w:space="0"/>
              <w:bottom w:val="single" w:color="auto" w:sz="6" w:space="0"/>
              <w:right w:val="single" w:color="auto" w:sz="6" w:space="0"/>
            </w:tcBorders>
            <w:vAlign w:val="center"/>
          </w:tcPr>
          <w:p>
            <w:pPr>
              <w:snapToGrid w:val="0"/>
              <w:spacing w:line="300" w:lineRule="auto"/>
              <w:ind w:left="151" w:leftChars="72" w:right="267" w:rightChars="127"/>
              <w:rPr>
                <w:rFonts w:hint="eastAsia" w:ascii="宋体" w:hAnsi="宋体"/>
                <w:b/>
                <w:bCs/>
                <w:sz w:val="24"/>
              </w:rPr>
            </w:pPr>
            <w:r>
              <w:rPr>
                <w:rFonts w:hint="eastAsia" w:ascii="宋体" w:hAnsi="宋体"/>
                <w:b/>
                <w:bCs/>
                <w:sz w:val="24"/>
              </w:rPr>
              <w:t>3</w:t>
            </w:r>
          </w:p>
        </w:tc>
        <w:tc>
          <w:tcPr>
            <w:tcW w:w="6156" w:type="dxa"/>
            <w:tcBorders>
              <w:top w:val="single" w:color="auto" w:sz="6" w:space="0"/>
              <w:left w:val="single" w:color="auto" w:sz="6" w:space="0"/>
              <w:bottom w:val="single" w:color="auto" w:sz="6" w:space="0"/>
              <w:right w:val="single" w:color="auto" w:sz="12" w:space="0"/>
            </w:tcBorders>
            <w:vAlign w:val="center"/>
          </w:tcPr>
          <w:p>
            <w:pPr>
              <w:snapToGrid w:val="0"/>
              <w:spacing w:line="300" w:lineRule="auto"/>
              <w:ind w:left="151" w:leftChars="72" w:right="267" w:rightChars="127"/>
              <w:rPr>
                <w:rFonts w:hint="eastAsia" w:ascii="宋体" w:hAnsi="宋体"/>
                <w:b/>
                <w:bCs/>
                <w:sz w:val="24"/>
              </w:rPr>
            </w:pPr>
            <w:r>
              <w:rPr>
                <w:rFonts w:hint="eastAsia" w:ascii="宋体" w:hAnsi="宋体"/>
                <w:b/>
                <w:bCs/>
                <w:sz w:val="24"/>
              </w:rPr>
              <w:t>投标人需提供2014年以来财务报告通过中介机构审计（如是新注册公司，提供最新报告），且要素齐全、真实完整，根据其注册资本（实收资本）、资产总额、资产负债率、主营业务收入、利润总额等情况综合评定，0-3分，不提供者为0分。</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Ex>
        <w:trPr>
          <w:trHeight w:val="567" w:hRule="atLeast"/>
          <w:jc w:val="center"/>
        </w:trPr>
        <w:tc>
          <w:tcPr>
            <w:tcW w:w="679" w:type="dxa"/>
            <w:tcBorders>
              <w:top w:val="single" w:color="auto" w:sz="6" w:space="0"/>
              <w:left w:val="single" w:color="auto" w:sz="12" w:space="0"/>
              <w:bottom w:val="single" w:color="auto" w:sz="6" w:space="0"/>
              <w:right w:val="single" w:color="auto" w:sz="4" w:space="0"/>
            </w:tcBorders>
            <w:vAlign w:val="center"/>
          </w:tcPr>
          <w:p>
            <w:pPr>
              <w:snapToGrid w:val="0"/>
              <w:spacing w:line="300" w:lineRule="auto"/>
              <w:ind w:left="151" w:leftChars="72" w:right="267" w:rightChars="127"/>
              <w:rPr>
                <w:rFonts w:hint="eastAsia" w:ascii="宋体" w:hAnsi="宋体"/>
                <w:b/>
                <w:bCs/>
                <w:sz w:val="24"/>
              </w:rPr>
            </w:pPr>
            <w:r>
              <w:rPr>
                <w:rFonts w:hint="eastAsia" w:ascii="宋体" w:hAnsi="宋体"/>
                <w:b/>
                <w:bCs/>
                <w:sz w:val="24"/>
              </w:rPr>
              <w:t>C2</w:t>
            </w:r>
          </w:p>
        </w:tc>
        <w:tc>
          <w:tcPr>
            <w:tcW w:w="1848" w:type="dxa"/>
            <w:tcBorders>
              <w:top w:val="single" w:color="auto" w:sz="6" w:space="0"/>
              <w:left w:val="single" w:color="auto" w:sz="4" w:space="0"/>
              <w:bottom w:val="single" w:color="auto" w:sz="6" w:space="0"/>
              <w:right w:val="single" w:color="auto" w:sz="6" w:space="0"/>
            </w:tcBorders>
            <w:vAlign w:val="center"/>
          </w:tcPr>
          <w:p>
            <w:pPr>
              <w:snapToGrid w:val="0"/>
              <w:spacing w:line="300" w:lineRule="auto"/>
              <w:ind w:left="151" w:leftChars="72" w:right="267" w:rightChars="127"/>
              <w:rPr>
                <w:rFonts w:hint="eastAsia" w:ascii="宋体" w:hAnsi="宋体"/>
                <w:b/>
                <w:bCs/>
                <w:sz w:val="24"/>
              </w:rPr>
            </w:pPr>
            <w:r>
              <w:rPr>
                <w:rFonts w:hint="eastAsia" w:ascii="宋体" w:hAnsi="宋体"/>
                <w:b/>
                <w:bCs/>
                <w:sz w:val="24"/>
              </w:rPr>
              <w:t>销售业绩</w:t>
            </w:r>
          </w:p>
        </w:tc>
        <w:tc>
          <w:tcPr>
            <w:tcW w:w="797" w:type="dxa"/>
            <w:tcBorders>
              <w:top w:val="single" w:color="auto" w:sz="6" w:space="0"/>
              <w:left w:val="single" w:color="auto" w:sz="6" w:space="0"/>
              <w:bottom w:val="single" w:color="auto" w:sz="6" w:space="0"/>
              <w:right w:val="single" w:color="auto" w:sz="6" w:space="0"/>
            </w:tcBorders>
            <w:vAlign w:val="center"/>
          </w:tcPr>
          <w:p>
            <w:pPr>
              <w:snapToGrid w:val="0"/>
              <w:spacing w:line="300" w:lineRule="auto"/>
              <w:ind w:left="151" w:leftChars="72" w:right="267" w:rightChars="127"/>
              <w:rPr>
                <w:rFonts w:hint="eastAsia" w:ascii="宋体" w:hAnsi="宋体"/>
                <w:b/>
                <w:bCs/>
                <w:sz w:val="24"/>
              </w:rPr>
            </w:pPr>
            <w:r>
              <w:rPr>
                <w:rFonts w:hint="eastAsia" w:ascii="宋体" w:hAnsi="宋体"/>
                <w:b/>
                <w:bCs/>
                <w:sz w:val="24"/>
              </w:rPr>
              <w:t>3</w:t>
            </w:r>
          </w:p>
        </w:tc>
        <w:tc>
          <w:tcPr>
            <w:tcW w:w="6156" w:type="dxa"/>
            <w:tcBorders>
              <w:top w:val="single" w:color="auto" w:sz="6" w:space="0"/>
              <w:left w:val="single" w:color="auto" w:sz="6" w:space="0"/>
              <w:bottom w:val="single" w:color="auto" w:sz="6" w:space="0"/>
              <w:right w:val="single" w:color="auto" w:sz="12" w:space="0"/>
            </w:tcBorders>
            <w:vAlign w:val="center"/>
          </w:tcPr>
          <w:p>
            <w:pPr>
              <w:snapToGrid w:val="0"/>
              <w:spacing w:line="300" w:lineRule="auto"/>
              <w:ind w:left="151" w:leftChars="72" w:right="267" w:rightChars="127"/>
              <w:rPr>
                <w:rFonts w:hint="eastAsia" w:ascii="宋体" w:hAnsi="宋体"/>
                <w:b/>
                <w:bCs/>
                <w:sz w:val="24"/>
              </w:rPr>
            </w:pPr>
            <w:r>
              <w:rPr>
                <w:rFonts w:hint="eastAsia" w:ascii="宋体" w:hAnsi="宋体"/>
                <w:b/>
                <w:bCs/>
                <w:sz w:val="24"/>
              </w:rPr>
              <w:t>投标人2014年1月1日以来，具有类似项目业绩、所投项目业绩单次合同金额在：</w:t>
            </w:r>
          </w:p>
          <w:p>
            <w:pPr>
              <w:snapToGrid w:val="0"/>
              <w:spacing w:line="300" w:lineRule="auto"/>
              <w:ind w:left="151" w:leftChars="72" w:right="267" w:rightChars="127"/>
              <w:rPr>
                <w:rFonts w:hint="eastAsia" w:ascii="宋体" w:hAnsi="宋体"/>
                <w:b/>
                <w:bCs/>
                <w:sz w:val="24"/>
              </w:rPr>
            </w:pPr>
            <w:r>
              <w:rPr>
                <w:rFonts w:hint="eastAsia" w:ascii="宋体" w:hAnsi="宋体"/>
                <w:b/>
                <w:bCs/>
                <w:color w:val="auto"/>
                <w:sz w:val="24"/>
                <w:lang w:val="en-US" w:eastAsia="zh-CN"/>
              </w:rPr>
              <w:t>A包：200万元以上(含200万元)；B包：320 万元以上（含320万元）；C包：55万元以上（含55万元）；D包：30万元以上（含30万元）；E包：100万元以上（含100万元）</w:t>
            </w:r>
            <w:r>
              <w:rPr>
                <w:rFonts w:hint="eastAsia" w:ascii="宋体" w:hAnsi="宋体"/>
                <w:color w:val="000000"/>
                <w:sz w:val="28"/>
                <w:szCs w:val="28"/>
                <w:lang w:val="en-US" w:eastAsia="zh-CN"/>
              </w:rPr>
              <w:t>。</w:t>
            </w:r>
            <w:r>
              <w:rPr>
                <w:rFonts w:hint="eastAsia" w:ascii="宋体" w:hAnsi="宋体"/>
                <w:b/>
                <w:bCs/>
                <w:color w:val="auto"/>
                <w:sz w:val="24"/>
              </w:rPr>
              <w:t>合</w:t>
            </w:r>
            <w:r>
              <w:rPr>
                <w:rFonts w:hint="eastAsia" w:ascii="宋体" w:hAnsi="宋体"/>
                <w:b/>
                <w:bCs/>
                <w:sz w:val="24"/>
              </w:rPr>
              <w:t>同及验收报告齐全，每提供一份得1分，最多得3分，不提供者为0分。</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Ex>
        <w:trPr>
          <w:trHeight w:val="567" w:hRule="atLeast"/>
          <w:jc w:val="center"/>
        </w:trPr>
        <w:tc>
          <w:tcPr>
            <w:tcW w:w="679" w:type="dxa"/>
            <w:tcBorders>
              <w:top w:val="single" w:color="auto" w:sz="6" w:space="0"/>
              <w:left w:val="single" w:color="auto" w:sz="12" w:space="0"/>
              <w:bottom w:val="single" w:color="auto" w:sz="6" w:space="0"/>
              <w:right w:val="single" w:color="auto" w:sz="4" w:space="0"/>
            </w:tcBorders>
            <w:vAlign w:val="center"/>
          </w:tcPr>
          <w:p>
            <w:pPr>
              <w:snapToGrid w:val="0"/>
              <w:spacing w:line="300" w:lineRule="auto"/>
              <w:ind w:left="151" w:leftChars="72" w:right="267" w:rightChars="127"/>
              <w:rPr>
                <w:rFonts w:hint="eastAsia" w:ascii="宋体" w:hAnsi="宋体"/>
                <w:b/>
                <w:bCs/>
                <w:sz w:val="24"/>
              </w:rPr>
            </w:pPr>
            <w:r>
              <w:rPr>
                <w:rFonts w:hint="eastAsia" w:ascii="宋体" w:hAnsi="宋体"/>
                <w:b/>
                <w:bCs/>
                <w:sz w:val="24"/>
              </w:rPr>
              <w:t>C3</w:t>
            </w:r>
          </w:p>
        </w:tc>
        <w:tc>
          <w:tcPr>
            <w:tcW w:w="1848" w:type="dxa"/>
            <w:tcBorders>
              <w:top w:val="single" w:color="auto" w:sz="6" w:space="0"/>
              <w:left w:val="single" w:color="auto" w:sz="4" w:space="0"/>
              <w:bottom w:val="single" w:color="auto" w:sz="6" w:space="0"/>
              <w:right w:val="single" w:color="auto" w:sz="6" w:space="0"/>
            </w:tcBorders>
            <w:vAlign w:val="center"/>
          </w:tcPr>
          <w:p>
            <w:pPr>
              <w:snapToGrid w:val="0"/>
              <w:spacing w:line="300" w:lineRule="auto"/>
              <w:ind w:left="151" w:leftChars="72" w:right="267" w:rightChars="127"/>
              <w:rPr>
                <w:rFonts w:ascii="宋体" w:hAnsi="宋体"/>
                <w:b/>
                <w:bCs/>
                <w:sz w:val="24"/>
              </w:rPr>
            </w:pPr>
            <w:r>
              <w:rPr>
                <w:rFonts w:hint="eastAsia" w:ascii="宋体" w:hAnsi="宋体"/>
                <w:b/>
                <w:bCs/>
                <w:sz w:val="24"/>
              </w:rPr>
              <w:t>质量保证期</w:t>
            </w:r>
          </w:p>
        </w:tc>
        <w:tc>
          <w:tcPr>
            <w:tcW w:w="797" w:type="dxa"/>
            <w:tcBorders>
              <w:top w:val="single" w:color="auto" w:sz="6" w:space="0"/>
              <w:left w:val="single" w:color="auto" w:sz="6" w:space="0"/>
              <w:bottom w:val="single" w:color="auto" w:sz="6" w:space="0"/>
              <w:right w:val="single" w:color="auto" w:sz="6" w:space="0"/>
            </w:tcBorders>
            <w:vAlign w:val="center"/>
          </w:tcPr>
          <w:p>
            <w:pPr>
              <w:snapToGrid w:val="0"/>
              <w:spacing w:line="300" w:lineRule="auto"/>
              <w:ind w:left="151" w:leftChars="72" w:right="267" w:rightChars="127"/>
              <w:rPr>
                <w:rFonts w:hint="eastAsia" w:ascii="宋体" w:hAnsi="宋体"/>
                <w:b/>
                <w:bCs/>
                <w:sz w:val="24"/>
              </w:rPr>
            </w:pPr>
            <w:r>
              <w:rPr>
                <w:rFonts w:hint="eastAsia" w:ascii="宋体" w:hAnsi="宋体"/>
                <w:b/>
                <w:bCs/>
                <w:sz w:val="24"/>
              </w:rPr>
              <w:t>2</w:t>
            </w:r>
          </w:p>
        </w:tc>
        <w:tc>
          <w:tcPr>
            <w:tcW w:w="6156" w:type="dxa"/>
            <w:tcBorders>
              <w:top w:val="single" w:color="auto" w:sz="6" w:space="0"/>
              <w:left w:val="single" w:color="auto" w:sz="6" w:space="0"/>
              <w:bottom w:val="single" w:color="auto" w:sz="6" w:space="0"/>
              <w:right w:val="single" w:color="auto" w:sz="12" w:space="0"/>
            </w:tcBorders>
            <w:vAlign w:val="center"/>
          </w:tcPr>
          <w:p>
            <w:pPr>
              <w:snapToGrid w:val="0"/>
              <w:spacing w:line="300" w:lineRule="auto"/>
              <w:ind w:left="151" w:leftChars="72" w:right="267" w:rightChars="127"/>
              <w:rPr>
                <w:rFonts w:ascii="宋体" w:hAnsi="宋体"/>
                <w:b/>
                <w:bCs/>
                <w:sz w:val="24"/>
              </w:rPr>
            </w:pPr>
            <w:r>
              <w:rPr>
                <w:rFonts w:hint="eastAsia" w:ascii="宋体" w:hAnsi="宋体"/>
                <w:b/>
                <w:bCs/>
                <w:sz w:val="24"/>
              </w:rPr>
              <w:t>符合招标文件质保期要求的不加分，每增加一年加</w:t>
            </w:r>
            <w:r>
              <w:rPr>
                <w:rFonts w:ascii="宋体" w:hAnsi="宋体"/>
                <w:b/>
                <w:bCs/>
                <w:sz w:val="24"/>
              </w:rPr>
              <w:t>1</w:t>
            </w:r>
            <w:r>
              <w:rPr>
                <w:rFonts w:hint="eastAsia" w:ascii="宋体" w:hAnsi="宋体"/>
                <w:b/>
                <w:bCs/>
                <w:sz w:val="24"/>
              </w:rPr>
              <w:t>分，最高加2分。</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Ex>
        <w:trPr>
          <w:trHeight w:val="567" w:hRule="atLeast"/>
          <w:jc w:val="center"/>
        </w:trPr>
        <w:tc>
          <w:tcPr>
            <w:tcW w:w="679" w:type="dxa"/>
            <w:tcBorders>
              <w:top w:val="single" w:color="auto" w:sz="6" w:space="0"/>
              <w:left w:val="single" w:color="auto" w:sz="12" w:space="0"/>
              <w:bottom w:val="single" w:color="auto" w:sz="6" w:space="0"/>
              <w:right w:val="single" w:color="auto" w:sz="4" w:space="0"/>
            </w:tcBorders>
            <w:vAlign w:val="center"/>
          </w:tcPr>
          <w:p>
            <w:pPr>
              <w:snapToGrid w:val="0"/>
              <w:spacing w:line="300" w:lineRule="auto"/>
              <w:ind w:left="151" w:leftChars="72" w:right="267" w:rightChars="127"/>
              <w:rPr>
                <w:rFonts w:hint="eastAsia" w:ascii="宋体" w:hAnsi="宋体"/>
                <w:b/>
                <w:bCs/>
                <w:sz w:val="24"/>
              </w:rPr>
            </w:pPr>
            <w:r>
              <w:rPr>
                <w:rFonts w:hint="eastAsia" w:ascii="宋体" w:hAnsi="宋体"/>
                <w:b/>
                <w:bCs/>
                <w:sz w:val="24"/>
              </w:rPr>
              <w:t>C4</w:t>
            </w:r>
          </w:p>
        </w:tc>
        <w:tc>
          <w:tcPr>
            <w:tcW w:w="1848" w:type="dxa"/>
            <w:tcBorders>
              <w:top w:val="single" w:color="auto" w:sz="6" w:space="0"/>
              <w:left w:val="single" w:color="auto" w:sz="4" w:space="0"/>
              <w:bottom w:val="single" w:color="auto" w:sz="6" w:space="0"/>
              <w:right w:val="single" w:color="auto" w:sz="6" w:space="0"/>
            </w:tcBorders>
            <w:vAlign w:val="center"/>
          </w:tcPr>
          <w:p>
            <w:pPr>
              <w:snapToGrid w:val="0"/>
              <w:spacing w:line="300" w:lineRule="auto"/>
              <w:ind w:left="151" w:leftChars="72" w:right="267" w:rightChars="127"/>
              <w:rPr>
                <w:rFonts w:hint="eastAsia" w:ascii="宋体" w:hAnsi="宋体"/>
                <w:b/>
                <w:bCs/>
                <w:sz w:val="24"/>
              </w:rPr>
            </w:pPr>
            <w:r>
              <w:rPr>
                <w:rFonts w:hint="eastAsia" w:ascii="宋体" w:hAnsi="宋体"/>
                <w:b/>
                <w:bCs/>
                <w:sz w:val="24"/>
              </w:rPr>
              <w:t>投标文件规范程度</w:t>
            </w:r>
          </w:p>
        </w:tc>
        <w:tc>
          <w:tcPr>
            <w:tcW w:w="797" w:type="dxa"/>
            <w:tcBorders>
              <w:top w:val="single" w:color="auto" w:sz="6" w:space="0"/>
              <w:left w:val="single" w:color="auto" w:sz="6" w:space="0"/>
              <w:bottom w:val="single" w:color="auto" w:sz="6" w:space="0"/>
              <w:right w:val="single" w:color="auto" w:sz="6" w:space="0"/>
            </w:tcBorders>
            <w:vAlign w:val="center"/>
          </w:tcPr>
          <w:p>
            <w:pPr>
              <w:snapToGrid w:val="0"/>
              <w:spacing w:line="300" w:lineRule="auto"/>
              <w:ind w:left="151" w:leftChars="72" w:right="267" w:rightChars="127"/>
              <w:rPr>
                <w:rFonts w:hint="eastAsia" w:ascii="宋体" w:hAnsi="宋体"/>
                <w:b/>
                <w:bCs/>
                <w:sz w:val="24"/>
              </w:rPr>
            </w:pPr>
            <w:r>
              <w:rPr>
                <w:rFonts w:hint="eastAsia" w:ascii="宋体" w:hAnsi="宋体"/>
                <w:b/>
                <w:bCs/>
                <w:sz w:val="24"/>
              </w:rPr>
              <w:t>2</w:t>
            </w:r>
          </w:p>
        </w:tc>
        <w:tc>
          <w:tcPr>
            <w:tcW w:w="6156" w:type="dxa"/>
            <w:tcBorders>
              <w:top w:val="single" w:color="auto" w:sz="6" w:space="0"/>
              <w:left w:val="single" w:color="auto" w:sz="6" w:space="0"/>
              <w:bottom w:val="single" w:color="auto" w:sz="6" w:space="0"/>
              <w:right w:val="single" w:color="auto" w:sz="12" w:space="0"/>
            </w:tcBorders>
            <w:vAlign w:val="center"/>
          </w:tcPr>
          <w:p>
            <w:pPr>
              <w:snapToGrid w:val="0"/>
              <w:spacing w:line="300" w:lineRule="auto"/>
              <w:ind w:left="151" w:leftChars="72" w:right="267" w:rightChars="127"/>
              <w:rPr>
                <w:rFonts w:hint="eastAsia" w:ascii="宋体" w:hAnsi="宋体"/>
                <w:b/>
                <w:bCs/>
                <w:sz w:val="24"/>
              </w:rPr>
            </w:pPr>
            <w:r>
              <w:rPr>
                <w:rFonts w:hint="eastAsia" w:ascii="宋体" w:hAnsi="宋体"/>
                <w:b/>
                <w:bCs/>
                <w:sz w:val="24"/>
              </w:rPr>
              <w:t>装订规范、文字清晰得、无差错得1分，所提供资料准确完整得1分。</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Ex>
        <w:trPr>
          <w:trHeight w:val="567" w:hRule="atLeast"/>
          <w:jc w:val="center"/>
        </w:trPr>
        <w:tc>
          <w:tcPr>
            <w:tcW w:w="679" w:type="dxa"/>
            <w:tcBorders>
              <w:top w:val="single" w:color="auto" w:sz="6" w:space="0"/>
              <w:left w:val="single" w:color="auto" w:sz="12" w:space="0"/>
              <w:bottom w:val="single" w:color="auto" w:sz="6" w:space="0"/>
              <w:right w:val="single" w:color="auto" w:sz="4" w:space="0"/>
            </w:tcBorders>
            <w:vAlign w:val="center"/>
          </w:tcPr>
          <w:p>
            <w:pPr>
              <w:snapToGrid w:val="0"/>
              <w:spacing w:line="300" w:lineRule="auto"/>
              <w:ind w:left="151" w:leftChars="72" w:right="267" w:rightChars="127"/>
              <w:rPr>
                <w:rFonts w:hint="eastAsia" w:ascii="宋体" w:hAnsi="宋体"/>
                <w:b/>
                <w:bCs/>
                <w:sz w:val="24"/>
              </w:rPr>
            </w:pPr>
            <w:r>
              <w:rPr>
                <w:rFonts w:hint="eastAsia" w:ascii="宋体" w:hAnsi="宋体"/>
                <w:b/>
                <w:bCs/>
                <w:sz w:val="24"/>
              </w:rPr>
              <w:t>C5</w:t>
            </w:r>
          </w:p>
        </w:tc>
        <w:tc>
          <w:tcPr>
            <w:tcW w:w="1848" w:type="dxa"/>
            <w:tcBorders>
              <w:top w:val="single" w:color="auto" w:sz="6" w:space="0"/>
              <w:left w:val="single" w:color="auto" w:sz="4" w:space="0"/>
              <w:bottom w:val="single" w:color="auto" w:sz="6" w:space="0"/>
              <w:right w:val="single" w:color="auto" w:sz="6" w:space="0"/>
            </w:tcBorders>
            <w:vAlign w:val="center"/>
          </w:tcPr>
          <w:p>
            <w:pPr>
              <w:snapToGrid w:val="0"/>
              <w:spacing w:line="300" w:lineRule="auto"/>
              <w:ind w:left="151" w:leftChars="72" w:right="267" w:rightChars="127"/>
              <w:rPr>
                <w:rFonts w:hint="eastAsia" w:ascii="宋体" w:hAnsi="宋体"/>
                <w:b/>
                <w:bCs/>
                <w:sz w:val="24"/>
              </w:rPr>
            </w:pPr>
            <w:r>
              <w:rPr>
                <w:rFonts w:hint="eastAsia" w:ascii="宋体" w:hAnsi="宋体"/>
                <w:b/>
                <w:bCs/>
                <w:sz w:val="24"/>
              </w:rPr>
              <w:t>技术培训及售后服务承诺</w:t>
            </w:r>
          </w:p>
        </w:tc>
        <w:tc>
          <w:tcPr>
            <w:tcW w:w="797" w:type="dxa"/>
            <w:tcBorders>
              <w:top w:val="single" w:color="auto" w:sz="6" w:space="0"/>
              <w:left w:val="single" w:color="auto" w:sz="6" w:space="0"/>
              <w:bottom w:val="single" w:color="auto" w:sz="6" w:space="0"/>
              <w:right w:val="single" w:color="auto" w:sz="6" w:space="0"/>
            </w:tcBorders>
            <w:vAlign w:val="center"/>
          </w:tcPr>
          <w:p>
            <w:pPr>
              <w:snapToGrid w:val="0"/>
              <w:spacing w:line="300" w:lineRule="auto"/>
              <w:ind w:left="151" w:leftChars="72" w:right="267" w:rightChars="127"/>
              <w:rPr>
                <w:rFonts w:hint="eastAsia" w:ascii="宋体" w:hAnsi="宋体"/>
                <w:b/>
                <w:bCs/>
                <w:sz w:val="24"/>
              </w:rPr>
            </w:pPr>
            <w:r>
              <w:rPr>
                <w:rFonts w:hint="eastAsia" w:ascii="宋体" w:hAnsi="宋体"/>
                <w:b/>
                <w:bCs/>
                <w:sz w:val="24"/>
              </w:rPr>
              <w:t>8</w:t>
            </w:r>
          </w:p>
        </w:tc>
        <w:tc>
          <w:tcPr>
            <w:tcW w:w="6156" w:type="dxa"/>
            <w:tcBorders>
              <w:top w:val="single" w:color="auto" w:sz="6" w:space="0"/>
              <w:left w:val="single" w:color="auto" w:sz="6" w:space="0"/>
              <w:bottom w:val="single" w:color="auto" w:sz="6" w:space="0"/>
              <w:right w:val="single" w:color="auto" w:sz="12" w:space="0"/>
            </w:tcBorders>
            <w:vAlign w:val="center"/>
          </w:tcPr>
          <w:p>
            <w:pPr>
              <w:snapToGrid w:val="0"/>
              <w:spacing w:line="300" w:lineRule="auto"/>
              <w:ind w:left="151" w:leftChars="72" w:right="267" w:rightChars="127"/>
              <w:rPr>
                <w:rFonts w:hint="eastAsia" w:ascii="宋体" w:hAnsi="宋体"/>
                <w:b/>
                <w:bCs/>
                <w:color w:val="auto"/>
                <w:sz w:val="24"/>
              </w:rPr>
            </w:pPr>
            <w:r>
              <w:rPr>
                <w:rFonts w:hint="eastAsia" w:ascii="宋体" w:hAnsi="宋体"/>
                <w:b/>
                <w:bCs/>
                <w:sz w:val="24"/>
              </w:rPr>
              <w:t>售后服务计划完整、可行，</w:t>
            </w:r>
            <w:r>
              <w:rPr>
                <w:rFonts w:hint="eastAsia" w:ascii="宋体" w:hAnsi="宋体"/>
                <w:b/>
                <w:bCs/>
                <w:color w:val="auto"/>
                <w:sz w:val="24"/>
                <w:lang w:eastAsia="zh-CN"/>
              </w:rPr>
              <w:t>好</w:t>
            </w:r>
            <w:r>
              <w:rPr>
                <w:rFonts w:hint="eastAsia" w:ascii="宋体" w:hAnsi="宋体"/>
                <w:b/>
                <w:bCs/>
                <w:color w:val="auto"/>
                <w:sz w:val="24"/>
              </w:rPr>
              <w:t>（</w:t>
            </w:r>
            <w:r>
              <w:rPr>
                <w:rFonts w:hint="eastAsia" w:ascii="宋体" w:hAnsi="宋体"/>
                <w:b/>
                <w:bCs/>
                <w:color w:val="auto"/>
                <w:sz w:val="24"/>
                <w:lang w:val="en-US" w:eastAsia="zh-CN"/>
              </w:rPr>
              <w:t>3</w:t>
            </w:r>
            <w:r>
              <w:rPr>
                <w:rFonts w:hint="eastAsia" w:ascii="宋体" w:hAnsi="宋体"/>
                <w:b/>
                <w:bCs/>
                <w:color w:val="auto"/>
                <w:sz w:val="24"/>
              </w:rPr>
              <w:t>分）；</w:t>
            </w:r>
            <w:r>
              <w:rPr>
                <w:rFonts w:hint="eastAsia" w:ascii="宋体" w:hAnsi="宋体"/>
                <w:b/>
                <w:bCs/>
                <w:color w:val="auto"/>
                <w:sz w:val="24"/>
                <w:lang w:eastAsia="zh-CN"/>
              </w:rPr>
              <w:t>较好</w:t>
            </w:r>
            <w:r>
              <w:rPr>
                <w:rFonts w:hint="eastAsia" w:ascii="宋体" w:hAnsi="宋体"/>
                <w:b/>
                <w:bCs/>
                <w:color w:val="auto"/>
                <w:sz w:val="24"/>
              </w:rPr>
              <w:t>（</w:t>
            </w:r>
            <w:r>
              <w:rPr>
                <w:rFonts w:hint="eastAsia" w:ascii="宋体" w:hAnsi="宋体"/>
                <w:b/>
                <w:bCs/>
                <w:color w:val="auto"/>
                <w:sz w:val="24"/>
                <w:lang w:val="en-US" w:eastAsia="zh-CN"/>
              </w:rPr>
              <w:t>2</w:t>
            </w:r>
            <w:r>
              <w:rPr>
                <w:rFonts w:hint="eastAsia" w:ascii="宋体" w:hAnsi="宋体"/>
                <w:b/>
                <w:bCs/>
                <w:color w:val="auto"/>
                <w:sz w:val="24"/>
              </w:rPr>
              <w:t>分）；</w:t>
            </w:r>
            <w:r>
              <w:rPr>
                <w:rFonts w:hint="eastAsia" w:ascii="宋体" w:hAnsi="宋体"/>
                <w:b/>
                <w:bCs/>
                <w:color w:val="auto"/>
                <w:sz w:val="24"/>
                <w:lang w:eastAsia="zh-CN"/>
              </w:rPr>
              <w:t>一般</w:t>
            </w:r>
            <w:r>
              <w:rPr>
                <w:rFonts w:hint="eastAsia" w:ascii="宋体" w:hAnsi="宋体"/>
                <w:b/>
                <w:bCs/>
                <w:color w:val="auto"/>
                <w:sz w:val="24"/>
              </w:rPr>
              <w:t>（</w:t>
            </w:r>
            <w:r>
              <w:rPr>
                <w:rFonts w:hint="eastAsia" w:ascii="宋体" w:hAnsi="宋体"/>
                <w:b/>
                <w:bCs/>
                <w:color w:val="auto"/>
                <w:sz w:val="24"/>
                <w:lang w:val="en-US" w:eastAsia="zh-CN"/>
              </w:rPr>
              <w:t>1</w:t>
            </w:r>
            <w:r>
              <w:rPr>
                <w:rFonts w:hint="eastAsia" w:ascii="宋体" w:hAnsi="宋体"/>
                <w:b/>
                <w:bCs/>
                <w:color w:val="auto"/>
                <w:sz w:val="24"/>
              </w:rPr>
              <w:t>分）。</w:t>
            </w:r>
          </w:p>
          <w:p>
            <w:pPr>
              <w:snapToGrid w:val="0"/>
              <w:spacing w:line="300" w:lineRule="auto"/>
              <w:ind w:left="151" w:leftChars="72" w:right="267" w:rightChars="127"/>
              <w:rPr>
                <w:rFonts w:hint="eastAsia" w:ascii="宋体" w:hAnsi="宋体"/>
                <w:b/>
                <w:bCs/>
                <w:sz w:val="24"/>
              </w:rPr>
            </w:pPr>
            <w:r>
              <w:rPr>
                <w:rFonts w:hint="eastAsia" w:ascii="宋体" w:hAnsi="宋体"/>
                <w:b/>
                <w:bCs/>
                <w:sz w:val="24"/>
              </w:rPr>
              <w:t>培训计划完整、可行，</w:t>
            </w:r>
            <w:r>
              <w:rPr>
                <w:rFonts w:hint="eastAsia" w:ascii="宋体" w:hAnsi="宋体"/>
                <w:b/>
                <w:bCs/>
                <w:color w:val="auto"/>
                <w:sz w:val="24"/>
                <w:lang w:eastAsia="zh-CN"/>
              </w:rPr>
              <w:t>好</w:t>
            </w:r>
            <w:r>
              <w:rPr>
                <w:rFonts w:hint="eastAsia" w:ascii="宋体" w:hAnsi="宋体"/>
                <w:b/>
                <w:bCs/>
                <w:color w:val="auto"/>
                <w:sz w:val="24"/>
              </w:rPr>
              <w:t>（</w:t>
            </w:r>
            <w:r>
              <w:rPr>
                <w:rFonts w:hint="eastAsia" w:ascii="宋体" w:hAnsi="宋体"/>
                <w:b/>
                <w:bCs/>
                <w:color w:val="auto"/>
                <w:sz w:val="24"/>
                <w:lang w:val="en-US" w:eastAsia="zh-CN"/>
              </w:rPr>
              <w:t>2</w:t>
            </w:r>
            <w:r>
              <w:rPr>
                <w:rFonts w:hint="eastAsia" w:ascii="宋体" w:hAnsi="宋体"/>
                <w:b/>
                <w:bCs/>
                <w:color w:val="auto"/>
                <w:sz w:val="24"/>
              </w:rPr>
              <w:t>分）；</w:t>
            </w:r>
            <w:r>
              <w:rPr>
                <w:rFonts w:hint="eastAsia" w:ascii="宋体" w:hAnsi="宋体"/>
                <w:b/>
                <w:bCs/>
                <w:color w:val="auto"/>
                <w:sz w:val="24"/>
                <w:lang w:eastAsia="zh-CN"/>
              </w:rPr>
              <w:t>较好</w:t>
            </w:r>
            <w:r>
              <w:rPr>
                <w:rFonts w:hint="eastAsia" w:ascii="宋体" w:hAnsi="宋体"/>
                <w:b/>
                <w:bCs/>
                <w:color w:val="auto"/>
                <w:sz w:val="24"/>
              </w:rPr>
              <w:t>（</w:t>
            </w:r>
            <w:r>
              <w:rPr>
                <w:rFonts w:hint="eastAsia" w:ascii="宋体" w:hAnsi="宋体"/>
                <w:b/>
                <w:bCs/>
                <w:color w:val="auto"/>
                <w:sz w:val="24"/>
                <w:lang w:val="en-US" w:eastAsia="zh-CN"/>
              </w:rPr>
              <w:t>1</w:t>
            </w:r>
            <w:r>
              <w:rPr>
                <w:rFonts w:hint="eastAsia" w:ascii="宋体" w:hAnsi="宋体"/>
                <w:b/>
                <w:bCs/>
                <w:color w:val="auto"/>
                <w:sz w:val="24"/>
              </w:rPr>
              <w:t>分）</w:t>
            </w:r>
            <w:r>
              <w:rPr>
                <w:rFonts w:hint="eastAsia" w:ascii="宋体" w:hAnsi="宋体"/>
                <w:b/>
                <w:bCs/>
                <w:sz w:val="24"/>
              </w:rPr>
              <w:t>。</w:t>
            </w:r>
          </w:p>
          <w:p>
            <w:pPr>
              <w:snapToGrid w:val="0"/>
              <w:spacing w:line="300" w:lineRule="auto"/>
              <w:ind w:left="151" w:leftChars="72" w:right="267" w:rightChars="127"/>
              <w:rPr>
                <w:rFonts w:hint="eastAsia" w:ascii="宋体" w:hAnsi="宋体"/>
                <w:b/>
                <w:bCs/>
                <w:sz w:val="24"/>
              </w:rPr>
            </w:pPr>
            <w:r>
              <w:rPr>
                <w:rFonts w:hint="eastAsia" w:ascii="宋体" w:hAnsi="宋体"/>
                <w:b/>
                <w:bCs/>
                <w:sz w:val="24"/>
              </w:rPr>
              <w:t>投标人售后服务能够实现本地化的（需提供必要的证明材料，如营业场所购房合同或产权证、租赁协议等），1分。</w:t>
            </w:r>
          </w:p>
          <w:p>
            <w:pPr>
              <w:snapToGrid w:val="0"/>
              <w:spacing w:line="300" w:lineRule="auto"/>
              <w:ind w:left="151" w:leftChars="72" w:right="267" w:rightChars="127"/>
              <w:rPr>
                <w:rFonts w:hint="eastAsia" w:ascii="宋体" w:hAnsi="宋体"/>
                <w:b/>
                <w:bCs/>
                <w:sz w:val="24"/>
              </w:rPr>
            </w:pPr>
            <w:r>
              <w:rPr>
                <w:rFonts w:hint="eastAsia" w:ascii="宋体" w:hAnsi="宋体"/>
                <w:b/>
                <w:bCs/>
                <w:sz w:val="24"/>
              </w:rPr>
              <w:t>根据招标文件要求的机器故障响应时间、及解决问题时间，</w:t>
            </w:r>
            <w:r>
              <w:rPr>
                <w:rFonts w:hint="eastAsia" w:ascii="宋体" w:hAnsi="宋体"/>
                <w:b/>
                <w:bCs/>
                <w:sz w:val="24"/>
                <w:lang w:eastAsia="zh-CN"/>
              </w:rPr>
              <w:t>符合</w:t>
            </w:r>
            <w:r>
              <w:rPr>
                <w:rFonts w:hint="eastAsia" w:ascii="宋体" w:hAnsi="宋体"/>
                <w:b/>
                <w:bCs/>
                <w:sz w:val="24"/>
              </w:rPr>
              <w:t>2分</w:t>
            </w:r>
            <w:r>
              <w:rPr>
                <w:rFonts w:hint="eastAsia" w:ascii="宋体" w:hAnsi="宋体"/>
                <w:b/>
                <w:bCs/>
                <w:sz w:val="24"/>
                <w:lang w:eastAsia="zh-CN"/>
              </w:rPr>
              <w:t>，不符合</w:t>
            </w:r>
            <w:r>
              <w:rPr>
                <w:rFonts w:hint="eastAsia" w:ascii="宋体" w:hAnsi="宋体"/>
                <w:b/>
                <w:bCs/>
                <w:sz w:val="24"/>
                <w:lang w:val="en-US" w:eastAsia="zh-CN"/>
              </w:rPr>
              <w:t>0分。</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Ex>
        <w:trPr>
          <w:trHeight w:val="1993" w:hRule="atLeast"/>
          <w:jc w:val="center"/>
        </w:trPr>
        <w:tc>
          <w:tcPr>
            <w:tcW w:w="679" w:type="dxa"/>
            <w:tcBorders>
              <w:top w:val="single" w:color="auto" w:sz="6" w:space="0"/>
              <w:left w:val="single" w:color="auto" w:sz="12" w:space="0"/>
              <w:bottom w:val="single" w:color="auto" w:sz="12" w:space="0"/>
              <w:right w:val="single" w:color="auto" w:sz="4" w:space="0"/>
            </w:tcBorders>
            <w:vAlign w:val="center"/>
          </w:tcPr>
          <w:p>
            <w:pPr>
              <w:snapToGrid w:val="0"/>
              <w:spacing w:line="300" w:lineRule="auto"/>
              <w:ind w:left="151" w:leftChars="72" w:right="267" w:rightChars="127"/>
              <w:rPr>
                <w:rFonts w:hint="eastAsia" w:ascii="宋体" w:hAnsi="宋体"/>
                <w:b/>
                <w:bCs/>
                <w:sz w:val="24"/>
              </w:rPr>
            </w:pPr>
            <w:r>
              <w:rPr>
                <w:rFonts w:hint="eastAsia" w:ascii="宋体" w:hAnsi="宋体"/>
                <w:b/>
                <w:bCs/>
                <w:sz w:val="24"/>
              </w:rPr>
              <w:t>C6</w:t>
            </w:r>
          </w:p>
        </w:tc>
        <w:tc>
          <w:tcPr>
            <w:tcW w:w="1848" w:type="dxa"/>
            <w:tcBorders>
              <w:top w:val="single" w:color="auto" w:sz="6" w:space="0"/>
              <w:left w:val="single" w:color="auto" w:sz="4" w:space="0"/>
              <w:bottom w:val="single" w:color="auto" w:sz="12" w:space="0"/>
              <w:right w:val="single" w:color="auto" w:sz="6" w:space="0"/>
            </w:tcBorders>
            <w:vAlign w:val="center"/>
          </w:tcPr>
          <w:p>
            <w:pPr>
              <w:snapToGrid w:val="0"/>
              <w:spacing w:line="300" w:lineRule="auto"/>
              <w:ind w:left="151" w:leftChars="72" w:right="267" w:rightChars="127"/>
              <w:rPr>
                <w:rFonts w:hint="eastAsia" w:ascii="宋体" w:hAnsi="宋体"/>
                <w:b/>
                <w:bCs/>
                <w:sz w:val="24"/>
              </w:rPr>
            </w:pPr>
            <w:r>
              <w:rPr>
                <w:rFonts w:hint="eastAsia" w:ascii="宋体" w:hAnsi="宋体"/>
                <w:b/>
                <w:bCs/>
                <w:sz w:val="24"/>
              </w:rPr>
              <w:t>信誉</w:t>
            </w:r>
          </w:p>
        </w:tc>
        <w:tc>
          <w:tcPr>
            <w:tcW w:w="797" w:type="dxa"/>
            <w:tcBorders>
              <w:top w:val="single" w:color="auto" w:sz="6" w:space="0"/>
              <w:left w:val="single" w:color="auto" w:sz="6" w:space="0"/>
              <w:bottom w:val="single" w:color="auto" w:sz="12" w:space="0"/>
              <w:right w:val="single" w:color="auto" w:sz="6" w:space="0"/>
            </w:tcBorders>
            <w:vAlign w:val="center"/>
          </w:tcPr>
          <w:p>
            <w:pPr>
              <w:snapToGrid w:val="0"/>
              <w:spacing w:line="300" w:lineRule="auto"/>
              <w:ind w:left="151" w:leftChars="72" w:right="267" w:rightChars="127"/>
              <w:rPr>
                <w:rFonts w:hint="eastAsia" w:ascii="宋体" w:hAnsi="宋体"/>
                <w:b/>
                <w:bCs/>
                <w:sz w:val="24"/>
              </w:rPr>
            </w:pPr>
            <w:r>
              <w:rPr>
                <w:rFonts w:hint="eastAsia" w:ascii="宋体" w:hAnsi="宋体"/>
                <w:b/>
                <w:bCs/>
                <w:sz w:val="24"/>
              </w:rPr>
              <w:t>2</w:t>
            </w:r>
          </w:p>
        </w:tc>
        <w:tc>
          <w:tcPr>
            <w:tcW w:w="6156" w:type="dxa"/>
            <w:tcBorders>
              <w:top w:val="single" w:color="auto" w:sz="6" w:space="0"/>
              <w:left w:val="single" w:color="auto" w:sz="6" w:space="0"/>
              <w:bottom w:val="single" w:color="auto" w:sz="12" w:space="0"/>
              <w:right w:val="single" w:color="auto" w:sz="12" w:space="0"/>
            </w:tcBorders>
            <w:vAlign w:val="center"/>
          </w:tcPr>
          <w:p>
            <w:pPr>
              <w:snapToGrid w:val="0"/>
              <w:spacing w:line="300" w:lineRule="auto"/>
              <w:ind w:left="151" w:leftChars="72" w:right="267" w:rightChars="127"/>
              <w:rPr>
                <w:rFonts w:hint="eastAsia" w:ascii="宋体" w:hAnsi="宋体"/>
                <w:b/>
                <w:bCs/>
                <w:sz w:val="24"/>
              </w:rPr>
            </w:pPr>
          </w:p>
          <w:p>
            <w:pPr>
              <w:snapToGrid w:val="0"/>
              <w:spacing w:line="300" w:lineRule="auto"/>
              <w:ind w:right="267" w:rightChars="127"/>
              <w:rPr>
                <w:rFonts w:hint="eastAsia" w:ascii="宋体" w:hAnsi="宋体"/>
                <w:b/>
                <w:bCs/>
                <w:sz w:val="24"/>
              </w:rPr>
            </w:pPr>
            <w:r>
              <w:rPr>
                <w:rFonts w:hint="eastAsia" w:ascii="宋体" w:hAnsi="宋体"/>
                <w:b/>
                <w:bCs/>
                <w:sz w:val="24"/>
              </w:rPr>
              <w:t>提供工商企业信用信息公示报告，包含基础信息、行政许可信息、行政处罚信息、列入经营异常名录信息、列入严重违法失信企业名单（黑名单）信息（国家企业信用信息公示系统http://www.gsxt.gov.cn）；企业所在地税务主管部门出具的纳税情况证明等信用情况，无不良信息者每项得1分，未提供或有不良信息者不得分。</w:t>
            </w:r>
          </w:p>
          <w:p>
            <w:pPr>
              <w:snapToGrid w:val="0"/>
              <w:spacing w:line="300" w:lineRule="auto"/>
              <w:ind w:left="151" w:leftChars="72" w:right="267" w:rightChars="127"/>
              <w:rPr>
                <w:rFonts w:hint="eastAsia" w:ascii="宋体" w:hAnsi="宋体"/>
                <w:b/>
                <w:bCs/>
                <w:sz w:val="24"/>
              </w:rPr>
            </w:pPr>
          </w:p>
        </w:tc>
      </w:tr>
    </w:tbl>
    <w:p>
      <w:pPr>
        <w:autoSpaceDE w:val="0"/>
        <w:autoSpaceDN w:val="0"/>
        <w:adjustRightInd w:val="0"/>
        <w:snapToGrid w:val="0"/>
        <w:spacing w:line="360" w:lineRule="auto"/>
        <w:ind w:firstLine="470" w:firstLineChars="196"/>
        <w:rPr>
          <w:rFonts w:hint="eastAsia" w:ascii="宋体" w:hAnsi="宋体"/>
          <w:sz w:val="24"/>
        </w:rPr>
      </w:pPr>
      <w:bookmarkStart w:id="0" w:name="_GoBack"/>
      <w:bookmarkEnd w:id="0"/>
    </w:p>
    <w:p>
      <w:pPr>
        <w:autoSpaceDE w:val="0"/>
        <w:autoSpaceDN w:val="0"/>
        <w:adjustRightInd w:val="0"/>
        <w:snapToGrid w:val="0"/>
        <w:spacing w:line="360" w:lineRule="auto"/>
        <w:ind w:firstLine="470" w:firstLineChars="196"/>
        <w:rPr>
          <w:rFonts w:hint="eastAsia" w:ascii="宋体" w:hAnsi="宋体"/>
          <w:sz w:val="24"/>
        </w:rPr>
      </w:pPr>
    </w:p>
    <w:p>
      <w:pPr>
        <w:numPr>
          <w:ilvl w:val="0"/>
          <w:numId w:val="2"/>
        </w:numPr>
        <w:autoSpaceDE w:val="0"/>
        <w:autoSpaceDN w:val="0"/>
        <w:adjustRightInd w:val="0"/>
        <w:snapToGrid w:val="0"/>
        <w:spacing w:line="360" w:lineRule="auto"/>
        <w:ind w:firstLine="472" w:firstLineChars="196"/>
        <w:rPr>
          <w:rFonts w:hint="eastAsia" w:ascii="宋体" w:hAnsi="宋体"/>
          <w:b/>
          <w:bCs/>
          <w:sz w:val="24"/>
        </w:rPr>
      </w:pPr>
      <w:r>
        <w:rPr>
          <w:rFonts w:hint="eastAsia" w:ascii="宋体" w:hAnsi="宋体"/>
          <w:b/>
          <w:bCs/>
          <w:sz w:val="24"/>
        </w:rPr>
        <w:t>采购单位联系方式及地址</w:t>
      </w:r>
    </w:p>
    <w:p>
      <w:pPr>
        <w:keepNext w:val="0"/>
        <w:keepLines w:val="0"/>
        <w:pageBreakBefore w:val="0"/>
        <w:widowControl w:val="0"/>
        <w:kinsoku/>
        <w:wordWrap/>
        <w:overflowPunct/>
        <w:topLinePunct w:val="0"/>
        <w:bidi w:val="0"/>
        <w:spacing w:line="360" w:lineRule="auto"/>
        <w:ind w:right="0" w:rightChars="0" w:firstLine="960" w:firstLineChars="400"/>
        <w:textAlignment w:val="auto"/>
        <w:outlineLvl w:val="9"/>
        <w:rPr>
          <w:rFonts w:hint="eastAsia" w:ascii="宋体" w:hAnsi="宋体" w:cs="宋体"/>
          <w:sz w:val="24"/>
          <w:szCs w:val="24"/>
          <w:lang w:val="zh-CN" w:eastAsia="zh-CN"/>
        </w:rPr>
      </w:pPr>
      <w:r>
        <w:rPr>
          <w:rFonts w:hint="eastAsia" w:ascii="宋体" w:hAnsi="宋体" w:cs="宋体"/>
          <w:sz w:val="24"/>
          <w:szCs w:val="24"/>
          <w:lang w:val="zh-CN"/>
        </w:rPr>
        <w:t>联系人：</w:t>
      </w:r>
      <w:r>
        <w:rPr>
          <w:rFonts w:hint="eastAsia" w:ascii="宋体" w:hAnsi="宋体" w:cs="宋体"/>
          <w:sz w:val="24"/>
          <w:szCs w:val="24"/>
          <w:lang w:val="zh-CN" w:eastAsia="zh-CN"/>
        </w:rPr>
        <w:t>席先生</w:t>
      </w:r>
      <w:r>
        <w:rPr>
          <w:rFonts w:hint="eastAsia" w:ascii="宋体" w:hAnsi="宋体" w:cs="宋体"/>
          <w:sz w:val="24"/>
          <w:szCs w:val="24"/>
          <w:lang w:val="en-US" w:eastAsia="zh-CN"/>
        </w:rPr>
        <w:t xml:space="preserve">   </w:t>
      </w:r>
      <w:r>
        <w:rPr>
          <w:rFonts w:hint="eastAsia" w:ascii="宋体" w:hAnsi="宋体" w:cs="宋体"/>
          <w:sz w:val="24"/>
          <w:szCs w:val="24"/>
          <w:lang w:val="zh-CN"/>
        </w:rPr>
        <w:t>电  话：</w:t>
      </w:r>
      <w:r>
        <w:rPr>
          <w:rFonts w:hint="eastAsia" w:ascii="宋体" w:hAnsi="宋体" w:cs="宋体"/>
          <w:sz w:val="24"/>
          <w:szCs w:val="24"/>
          <w:lang w:val="zh-CN" w:eastAsia="zh-CN"/>
        </w:rPr>
        <w:t>13937476967</w:t>
      </w:r>
    </w:p>
    <w:p>
      <w:pPr>
        <w:numPr>
          <w:ilvl w:val="0"/>
          <w:numId w:val="0"/>
        </w:numPr>
        <w:autoSpaceDE w:val="0"/>
        <w:autoSpaceDN w:val="0"/>
        <w:adjustRightInd w:val="0"/>
        <w:snapToGrid w:val="0"/>
        <w:spacing w:line="360" w:lineRule="auto"/>
        <w:rPr>
          <w:rFonts w:hint="eastAsia" w:ascii="宋体" w:hAnsi="宋体"/>
          <w:b/>
          <w:bCs/>
          <w:sz w:val="24"/>
        </w:rPr>
      </w:pPr>
      <w:r>
        <w:rPr>
          <w:rFonts w:hint="eastAsia" w:ascii="宋体" w:hAnsi="宋体" w:cs="宋体"/>
          <w:sz w:val="24"/>
          <w:szCs w:val="24"/>
          <w:lang w:val="zh-CN" w:eastAsia="zh-CN"/>
        </w:rPr>
        <w:t>    递交书面材料地址：禹州市康复路1号</w:t>
      </w:r>
    </w:p>
    <w:p>
      <w:pPr>
        <w:autoSpaceDE w:val="0"/>
        <w:autoSpaceDN w:val="0"/>
        <w:adjustRightInd w:val="0"/>
        <w:snapToGrid w:val="0"/>
        <w:spacing w:line="360" w:lineRule="auto"/>
        <w:ind w:firstLine="470" w:firstLineChars="196"/>
        <w:rPr>
          <w:rFonts w:hint="eastAsia" w:ascii="宋体" w:hAnsi="宋体"/>
          <w:sz w:val="24"/>
        </w:rPr>
      </w:pPr>
    </w:p>
    <w:sectPr>
      <w:headerReference r:id="rId5" w:type="first"/>
      <w:footerReference r:id="rId8" w:type="first"/>
      <w:headerReference r:id="rId3" w:type="default"/>
      <w:footerReference r:id="rId6" w:type="default"/>
      <w:headerReference r:id="rId4" w:type="even"/>
      <w:footerReference r:id="rId7" w:type="even"/>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_GB2312">
    <w:altName w:val="Times New Roman"/>
    <w:panose1 w:val="00000000000000000000"/>
    <w:charset w:val="00"/>
    <w:family w:val="auto"/>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等线 Light">
    <w:altName w:val="宋体"/>
    <w:panose1 w:val="02010600030101010101"/>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长城仿宋">
    <w:altName w:val="宋体"/>
    <w:panose1 w:val="00000000000000000000"/>
    <w:charset w:val="86"/>
    <w:family w:val="modern"/>
    <w:pitch w:val="default"/>
    <w:sig w:usb0="00000000" w:usb1="00000000" w:usb2="0000001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 w:name="幼圆">
    <w:panose1 w:val="02010509060101010101"/>
    <w:charset w:val="86"/>
    <w:family w:val="modern"/>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Calibri Light">
    <w:panose1 w:val="020F0302020204030204"/>
    <w:charset w:val="00"/>
    <w:family w:val="auto"/>
    <w:pitch w:val="default"/>
    <w:sig w:usb0="A00002EF" w:usb1="4000207B" w:usb2="00000000" w:usb3="00000000" w:csb0="2000019F" w:csb1="00000000"/>
  </w:font>
  <w:font w:name="仿宋体">
    <w:altName w:val="仿宋"/>
    <w:panose1 w:val="00000000000000000000"/>
    <w:charset w:val="86"/>
    <w:family w:val="roman"/>
    <w:pitch w:val="default"/>
    <w:sig w:usb0="00000000" w:usb1="00000000" w:usb2="00000010" w:usb3="00000000" w:csb0="00040001" w:csb1="00000000"/>
  </w:font>
  <w:font w:name="GE Inspira Pitch">
    <w:altName w:val="Calibri"/>
    <w:panose1 w:val="020F0603030400020203"/>
    <w:charset w:val="00"/>
    <w:family w:val="swiss"/>
    <w:pitch w:val="default"/>
    <w:sig w:usb0="00000000" w:usb1="00000000" w:usb2="00000000" w:usb3="00000000" w:csb0="0000009F" w:csb1="00000000"/>
  </w:font>
  <w:font w:name="华文中宋">
    <w:panose1 w:val="02010600040101010101"/>
    <w:charset w:val="86"/>
    <w:family w:val="auto"/>
    <w:pitch w:val="default"/>
    <w:sig w:usb0="00000287" w:usb1="080F0000" w:usb2="00000000" w:usb3="00000000" w:csb0="0004009F" w:csb1="DFD70000"/>
  </w:font>
  <w:font w:name="宋体-PUA">
    <w:altName w:val="宋体"/>
    <w:panose1 w:val="02010600030101010101"/>
    <w:charset w:val="86"/>
    <w:family w:val="auto"/>
    <w:pitch w:val="default"/>
    <w:sig w:usb0="00000000" w:usb1="0000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汉仪旗黑-55">
    <w:altName w:val="黑体"/>
    <w:panose1 w:val="00020600040101010101"/>
    <w:charset w:val="86"/>
    <w:family w:val="auto"/>
    <w:pitch w:val="default"/>
    <w:sig w:usb0="00000000" w:usb1="00000000" w:usb2="00000016" w:usb3="00000000" w:csb0="00040000" w:csb1="00000000"/>
  </w:font>
  <w:font w:name="汉仪旗黑-55S">
    <w:altName w:val="黑体"/>
    <w:panose1 w:val="00020600040101010101"/>
    <w:charset w:val="86"/>
    <w:family w:val="auto"/>
    <w:pitch w:val="default"/>
    <w:sig w:usb0="00000000" w:usb1="00000000" w:usb2="00000016" w:usb3="00000000" w:csb0="00040000" w:csb1="00000000"/>
  </w:font>
  <w:font w:name="Dotu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C7040"/>
    <w:multiLevelType w:val="singleLevel"/>
    <w:tmpl w:val="596C7040"/>
    <w:lvl w:ilvl="0" w:tentative="0">
      <w:start w:val="10"/>
      <w:numFmt w:val="decimal"/>
      <w:suff w:val="nothing"/>
      <w:lvlText w:val="%1、"/>
      <w:lvlJc w:val="left"/>
    </w:lvl>
  </w:abstractNum>
  <w:abstractNum w:abstractNumId="1">
    <w:nsid w:val="596C7132"/>
    <w:multiLevelType w:val="singleLevel"/>
    <w:tmpl w:val="596C7132"/>
    <w:lvl w:ilvl="0" w:tentative="0">
      <w:start w:val="6"/>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2D1FEA"/>
    <w:rsid w:val="03C765E9"/>
    <w:rsid w:val="068942EE"/>
    <w:rsid w:val="08970D32"/>
    <w:rsid w:val="1002291A"/>
    <w:rsid w:val="11790992"/>
    <w:rsid w:val="11AC533F"/>
    <w:rsid w:val="17CD523B"/>
    <w:rsid w:val="198512F8"/>
    <w:rsid w:val="1A843DDC"/>
    <w:rsid w:val="1D4027D6"/>
    <w:rsid w:val="243D0002"/>
    <w:rsid w:val="26BE61FB"/>
    <w:rsid w:val="2A494257"/>
    <w:rsid w:val="2AD43579"/>
    <w:rsid w:val="2BB631E6"/>
    <w:rsid w:val="2C4A0FA3"/>
    <w:rsid w:val="2EC87E1E"/>
    <w:rsid w:val="342D1FEA"/>
    <w:rsid w:val="346209B9"/>
    <w:rsid w:val="350F7D87"/>
    <w:rsid w:val="355C50DA"/>
    <w:rsid w:val="368B6BAF"/>
    <w:rsid w:val="38E44410"/>
    <w:rsid w:val="3A7519C1"/>
    <w:rsid w:val="3D253120"/>
    <w:rsid w:val="3D455223"/>
    <w:rsid w:val="3D770094"/>
    <w:rsid w:val="4D6F31BF"/>
    <w:rsid w:val="52AB16CB"/>
    <w:rsid w:val="53413156"/>
    <w:rsid w:val="54CC7C12"/>
    <w:rsid w:val="59A3275F"/>
    <w:rsid w:val="5CC464C1"/>
    <w:rsid w:val="61411ABD"/>
    <w:rsid w:val="61964B97"/>
    <w:rsid w:val="632834BA"/>
    <w:rsid w:val="63F0273E"/>
    <w:rsid w:val="659754F2"/>
    <w:rsid w:val="664A05B3"/>
    <w:rsid w:val="68050D80"/>
    <w:rsid w:val="69627154"/>
    <w:rsid w:val="6A6C7D80"/>
    <w:rsid w:val="6F034289"/>
    <w:rsid w:val="705261DB"/>
    <w:rsid w:val="75D5066E"/>
    <w:rsid w:val="76415A9F"/>
    <w:rsid w:val="791650A2"/>
    <w:rsid w:val="798D46CD"/>
    <w:rsid w:val="7A825BB5"/>
    <w:rsid w:val="7C9109BF"/>
    <w:rsid w:val="7D4B1A12"/>
    <w:rsid w:val="7DB8202C"/>
    <w:rsid w:val="7DDF6E96"/>
    <w:rsid w:val="7E5B7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42"/>
      <w:szCs w:val="42"/>
      <w:lang w:val="en-US" w:eastAsia="zh-CN" w:bidi="ar"/>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2017-07-21T03:34:00Z</dcterms:created>
  <dc:creator>Administrator</dc:creator>
  <cp:lastModifiedBy>中国机械进出口（集团）有限公司:王旭升</cp:lastModifiedBy>
  <dcterms:modified xsi:type="dcterms:W3CDTF">2017-07-17T09:01:38Z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