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黑体" w:eastAsia="黑体" w:cs="黑体"/>
          <w:b/>
          <w:bCs/>
          <w:color w:val="auto"/>
          <w:sz w:val="28"/>
          <w:szCs w:val="28"/>
          <w:lang w:val="zh-CN"/>
        </w:rPr>
        <w:t>项目（技术）需求</w:t>
      </w:r>
    </w:p>
    <w:p/>
    <w:p>
      <w:pPr>
        <w:keepNext w:val="0"/>
        <w:keepLines w:val="0"/>
        <w:pageBreakBefore w:val="0"/>
        <w:widowControl w:val="0"/>
        <w:tabs>
          <w:tab w:val="left" w:pos="3720"/>
        </w:tabs>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b/>
          <w:bCs/>
          <w:color w:val="auto"/>
          <w:sz w:val="24"/>
        </w:rPr>
      </w:pPr>
      <w:r>
        <w:rPr>
          <w:rFonts w:hint="eastAsia" w:ascii="宋体" w:cs="宋体"/>
          <w:b/>
          <w:bCs/>
          <w:color w:val="auto"/>
          <w:sz w:val="24"/>
          <w:lang w:val="zh-CN"/>
        </w:rPr>
        <w:t>一、投标条件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olor w:val="auto"/>
          <w:sz w:val="24"/>
        </w:rPr>
      </w:pPr>
      <w:r>
        <w:rPr>
          <w:rFonts w:hint="eastAsia" w:ascii="宋体" w:hAnsi="宋体"/>
          <w:color w:val="auto"/>
          <w:sz w:val="24"/>
        </w:rPr>
        <w:t>1</w:t>
      </w:r>
      <w:r>
        <w:rPr>
          <w:rFonts w:hint="eastAsia" w:ascii="宋体" w:hAnsi="宋体"/>
          <w:color w:val="auto"/>
          <w:sz w:val="24"/>
          <w:lang w:eastAsia="zh-CN"/>
        </w:rPr>
        <w:t>.</w:t>
      </w:r>
      <w:r>
        <w:rPr>
          <w:rFonts w:hint="eastAsia" w:ascii="宋体" w:hAnsi="宋体"/>
          <w:color w:val="auto"/>
          <w:sz w:val="24"/>
        </w:rPr>
        <w:t>符合《政府采购法》第二十二条之规定。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cs="宋体"/>
          <w:color w:val="auto"/>
          <w:sz w:val="24"/>
          <w:lang w:val="zh-CN" w:eastAsia="zh-CN"/>
        </w:rPr>
      </w:pPr>
      <w:r>
        <w:rPr>
          <w:rFonts w:hint="eastAsia" w:ascii="宋体" w:cs="宋体"/>
          <w:color w:val="auto"/>
          <w:sz w:val="24"/>
          <w:lang w:val="en-US" w:eastAsia="zh-CN"/>
        </w:rPr>
        <w:t>2.</w:t>
      </w:r>
      <w:r>
        <w:rPr>
          <w:rFonts w:hint="eastAsia" w:ascii="宋体" w:cs="宋体"/>
          <w:color w:val="auto"/>
          <w:sz w:val="24"/>
          <w:lang w:val="zh-CN" w:eastAsia="zh-CN"/>
        </w:rPr>
        <w:t>具有中华人民共和国独立法人资格和独立承担民事责任的能力且具有相应的经营范围。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cs="宋体"/>
          <w:color w:val="auto"/>
          <w:sz w:val="24"/>
          <w:lang w:val="zh-CN" w:eastAsia="zh-CN"/>
        </w:rPr>
      </w:pPr>
      <w:r>
        <w:rPr>
          <w:rFonts w:hint="eastAsia" w:ascii="宋体" w:cs="宋体"/>
          <w:color w:val="auto"/>
          <w:sz w:val="24"/>
          <w:lang w:val="en-US" w:eastAsia="zh-CN"/>
        </w:rPr>
        <w:t>3.</w:t>
      </w:r>
      <w:r>
        <w:rPr>
          <w:rFonts w:hint="eastAsia" w:ascii="宋体" w:cs="宋体"/>
          <w:color w:val="auto"/>
          <w:sz w:val="24"/>
          <w:lang w:val="zh-CN" w:eastAsia="zh-CN"/>
        </w:rPr>
        <w:t>投标人必须具有国家秘密载体印制乙级及以上资质，资质类别：“涉密档案数字化加工”，并持有资质满半年，并提供针对该项目已备案的证明文件。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cs="宋体"/>
          <w:color w:val="auto"/>
          <w:sz w:val="24"/>
          <w:lang w:val="zh-CN" w:eastAsia="zh-CN"/>
        </w:rPr>
      </w:pPr>
      <w:r>
        <w:rPr>
          <w:rFonts w:hint="eastAsia" w:ascii="宋体" w:cs="宋体"/>
          <w:color w:val="auto"/>
          <w:sz w:val="24"/>
          <w:lang w:val="en-US" w:eastAsia="zh-CN"/>
        </w:rPr>
        <w:t>4.</w:t>
      </w:r>
      <w:r>
        <w:rPr>
          <w:rFonts w:hint="eastAsia" w:ascii="宋体" w:cs="宋体"/>
          <w:color w:val="auto"/>
          <w:sz w:val="24"/>
          <w:lang w:val="zh-CN" w:eastAsia="zh-CN"/>
        </w:rPr>
        <w:t>投标人必须持有省级及以上工业信息化主管部门颁发的《软件企业认定证书》，按照要求，档案数字化数据，需要统一著录挂接到河南省法院档案管理系统中（省法院已完成软件系统一级部署）。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cs="宋体"/>
          <w:color w:val="auto"/>
          <w:sz w:val="24"/>
          <w:lang w:val="zh-CN" w:eastAsia="zh-CN"/>
        </w:rPr>
      </w:pPr>
      <w:r>
        <w:rPr>
          <w:rFonts w:hint="eastAsia" w:ascii="宋体" w:cs="宋体"/>
          <w:color w:val="auto"/>
          <w:sz w:val="24"/>
          <w:lang w:val="en-US" w:eastAsia="zh-CN"/>
        </w:rPr>
        <w:t>5.</w:t>
      </w:r>
      <w:r>
        <w:rPr>
          <w:rFonts w:hint="eastAsia" w:ascii="宋体" w:cs="宋体"/>
          <w:color w:val="auto"/>
          <w:sz w:val="24"/>
          <w:lang w:val="zh-CN" w:eastAsia="zh-CN"/>
        </w:rPr>
        <w:t>投标人必须提供本年度内任意连续3个月依法缴纳税收和不少于30人的社会保障资金良好记录证明文件。</w:t>
      </w:r>
    </w:p>
    <w:p>
      <w:pPr>
        <w:numPr>
          <w:ilvl w:val="0"/>
          <w:numId w:val="0"/>
        </w:numPr>
        <w:autoSpaceDE w:val="0"/>
        <w:autoSpaceDN w:val="0"/>
        <w:adjustRightInd w:val="0"/>
        <w:snapToGrid w:val="0"/>
        <w:spacing w:line="360" w:lineRule="auto"/>
        <w:outlineLvl w:val="0"/>
        <w:rPr>
          <w:rFonts w:hint="eastAsia" w:ascii="宋体" w:cs="宋体"/>
          <w:b/>
          <w:bCs/>
          <w:color w:val="auto"/>
          <w:sz w:val="24"/>
          <w:lang w:val="zh-CN"/>
        </w:rPr>
      </w:pPr>
      <w:r>
        <w:rPr>
          <w:rFonts w:hint="eastAsia" w:ascii="宋体" w:hAnsi="宋体"/>
          <w:color w:val="auto"/>
          <w:sz w:val="24"/>
          <w:lang w:val="en-US" w:eastAsia="zh-CN"/>
        </w:rPr>
        <w:t xml:space="preserve">    6.本项目不接受联合体投标。</w:t>
      </w:r>
    </w:p>
    <w:p>
      <w:pPr>
        <w:numPr>
          <w:ilvl w:val="0"/>
          <w:numId w:val="0"/>
        </w:numPr>
        <w:autoSpaceDE w:val="0"/>
        <w:autoSpaceDN w:val="0"/>
        <w:adjustRightInd w:val="0"/>
        <w:snapToGrid w:val="0"/>
        <w:spacing w:line="360" w:lineRule="auto"/>
        <w:outlineLvl w:val="0"/>
        <w:rPr>
          <w:rFonts w:hint="eastAsia" w:ascii="宋体" w:cs="宋体"/>
          <w:b/>
          <w:bCs/>
          <w:color w:val="auto"/>
          <w:sz w:val="24"/>
          <w:lang w:val="zh-CN"/>
        </w:rPr>
      </w:pPr>
      <w:r>
        <w:rPr>
          <w:rFonts w:hint="eastAsia" w:ascii="宋体" w:cs="宋体"/>
          <w:b/>
          <w:bCs/>
          <w:color w:val="auto"/>
          <w:sz w:val="24"/>
          <w:lang w:val="zh-CN"/>
        </w:rPr>
        <w:t>二</w:t>
      </w:r>
      <w:r>
        <w:rPr>
          <w:rFonts w:hint="eastAsia" w:ascii="宋体" w:cs="宋体"/>
          <w:b/>
          <w:bCs/>
          <w:color w:val="auto"/>
          <w:sz w:val="24"/>
          <w:lang w:val="zh-CN" w:eastAsia="zh-CN"/>
        </w:rPr>
        <w:t>、</w:t>
      </w:r>
      <w:r>
        <w:rPr>
          <w:rFonts w:hint="eastAsia" w:ascii="宋体" w:cs="宋体"/>
          <w:b/>
          <w:bCs/>
          <w:color w:val="auto"/>
          <w:sz w:val="24"/>
          <w:lang w:val="zh-CN"/>
        </w:rPr>
        <w:t>项目需求</w:t>
      </w:r>
    </w:p>
    <w:p>
      <w:pPr>
        <w:numPr>
          <w:ilvl w:val="0"/>
          <w:numId w:val="0"/>
        </w:numPr>
        <w:autoSpaceDE w:val="0"/>
        <w:autoSpaceDN w:val="0"/>
        <w:adjustRightInd w:val="0"/>
        <w:snapToGrid w:val="0"/>
        <w:spacing w:line="360" w:lineRule="auto"/>
        <w:outlineLvl w:val="0"/>
        <w:rPr>
          <w:rFonts w:hint="eastAsia" w:ascii="宋体" w:eastAsia="宋体" w:cs="宋体"/>
          <w:b/>
          <w:bCs/>
          <w:color w:val="auto"/>
          <w:sz w:val="24"/>
          <w:lang w:val="en-US" w:eastAsia="zh-CN"/>
        </w:rPr>
      </w:pPr>
      <w:r>
        <w:rPr>
          <w:rFonts w:hint="eastAsia" w:ascii="宋体" w:cs="宋体"/>
          <w:b/>
          <w:bCs/>
          <w:color w:val="auto"/>
          <w:sz w:val="24"/>
          <w:lang w:val="en-US" w:eastAsia="zh-CN"/>
        </w:rPr>
        <w:t xml:space="preserve">   </w:t>
      </w:r>
      <w:r>
        <w:rPr>
          <w:rFonts w:hint="eastAsia" w:ascii="宋体" w:cs="宋体"/>
          <w:b w:val="0"/>
          <w:bCs w:val="0"/>
          <w:color w:val="auto"/>
          <w:sz w:val="24"/>
          <w:lang w:val="en-US" w:eastAsia="zh-CN"/>
        </w:rPr>
        <w:t xml:space="preserve"> </w:t>
      </w:r>
      <w:r>
        <w:rPr>
          <w:rFonts w:hint="eastAsia" w:ascii="宋体" w:cs="宋体"/>
          <w:b/>
          <w:bCs/>
          <w:color w:val="auto"/>
          <w:sz w:val="24"/>
          <w:lang w:val="en-US" w:eastAsia="zh-CN"/>
        </w:rPr>
        <w:t>1.需求一览表</w:t>
      </w:r>
    </w:p>
    <w:tbl>
      <w:tblPr>
        <w:tblStyle w:val="5"/>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605"/>
        <w:gridCol w:w="6105"/>
        <w:gridCol w:w="870"/>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489" w:type="dxa"/>
            <w:tcBorders>
              <w:top w:val="single" w:color="auto" w:sz="4" w:space="0"/>
              <w:left w:val="single" w:color="auto" w:sz="4" w:space="0"/>
              <w:bottom w:val="single" w:color="auto" w:sz="4" w:space="0"/>
              <w:right w:val="single" w:color="auto" w:sz="4" w:space="0"/>
            </w:tcBorders>
            <w:vAlign w:val="center"/>
          </w:tcPr>
          <w:p>
            <w:pPr>
              <w:ind w:right="147" w:rightChars="70"/>
              <w:jc w:val="center"/>
              <w:rPr>
                <w:rFonts w:ascii="宋体" w:hAnsi="宋体" w:cs="宋体"/>
                <w:b/>
                <w:bCs/>
                <w:kern w:val="0"/>
                <w:sz w:val="24"/>
              </w:rPr>
            </w:pPr>
            <w:r>
              <w:rPr>
                <w:rFonts w:hint="eastAsia" w:ascii="宋体" w:hAnsi="宋体" w:cs="宋体"/>
                <w:b/>
                <w:bCs/>
                <w:kern w:val="0"/>
                <w:sz w:val="24"/>
              </w:rPr>
              <w:t>序号</w:t>
            </w:r>
          </w:p>
        </w:tc>
        <w:tc>
          <w:tcPr>
            <w:tcW w:w="1605" w:type="dxa"/>
            <w:tcBorders>
              <w:top w:val="single" w:color="auto" w:sz="4" w:space="0"/>
              <w:left w:val="nil"/>
              <w:bottom w:val="single" w:color="auto" w:sz="4" w:space="0"/>
              <w:right w:val="single" w:color="auto" w:sz="4" w:space="0"/>
            </w:tcBorders>
            <w:vAlign w:val="center"/>
          </w:tcPr>
          <w:p>
            <w:pPr>
              <w:ind w:left="147" w:leftChars="70" w:right="147" w:rightChars="70"/>
              <w:rPr>
                <w:rFonts w:hint="eastAsia" w:ascii="宋体" w:hAnsi="宋体" w:eastAsia="宋体" w:cs="宋体"/>
                <w:b/>
                <w:bCs/>
                <w:kern w:val="0"/>
                <w:sz w:val="24"/>
                <w:lang w:eastAsia="zh-CN"/>
              </w:rPr>
            </w:pPr>
            <w:r>
              <w:rPr>
                <w:rFonts w:hint="eastAsia" w:ascii="宋体" w:hAnsi="宋体" w:cs="宋体"/>
                <w:b/>
                <w:bCs/>
                <w:kern w:val="0"/>
                <w:sz w:val="24"/>
                <w:lang w:eastAsia="zh-CN"/>
              </w:rPr>
              <w:t>项目</w:t>
            </w:r>
          </w:p>
        </w:tc>
        <w:tc>
          <w:tcPr>
            <w:tcW w:w="6105" w:type="dxa"/>
            <w:tcBorders>
              <w:top w:val="single" w:color="auto" w:sz="4" w:space="0"/>
              <w:left w:val="nil"/>
              <w:bottom w:val="single" w:color="auto" w:sz="4" w:space="0"/>
              <w:right w:val="single" w:color="auto" w:sz="4" w:space="0"/>
            </w:tcBorders>
            <w:vAlign w:val="center"/>
          </w:tcPr>
          <w:p>
            <w:pPr>
              <w:ind w:left="147" w:leftChars="70" w:right="147" w:rightChars="70" w:firstLine="480" w:firstLineChars="200"/>
              <w:jc w:val="center"/>
              <w:rPr>
                <w:rFonts w:ascii="宋体" w:hAnsi="宋体" w:cs="宋体"/>
                <w:b/>
                <w:bCs/>
                <w:kern w:val="0"/>
                <w:sz w:val="24"/>
              </w:rPr>
            </w:pPr>
            <w:r>
              <w:rPr>
                <w:rFonts w:hint="eastAsia" w:ascii="宋体" w:hAnsi="宋体" w:cs="宋体"/>
                <w:b/>
                <w:bCs/>
                <w:kern w:val="0"/>
                <w:sz w:val="24"/>
              </w:rPr>
              <w:t>要求</w:t>
            </w:r>
          </w:p>
        </w:tc>
        <w:tc>
          <w:tcPr>
            <w:tcW w:w="870" w:type="dxa"/>
            <w:tcBorders>
              <w:top w:val="single" w:color="auto" w:sz="4" w:space="0"/>
              <w:left w:val="nil"/>
              <w:bottom w:val="single" w:color="auto" w:sz="4" w:space="0"/>
              <w:right w:val="single" w:color="auto" w:sz="4" w:space="0"/>
            </w:tcBorders>
            <w:vAlign w:val="top"/>
          </w:tcPr>
          <w:p>
            <w:pPr>
              <w:ind w:left="147" w:leftChars="70" w:right="147" w:rightChars="70"/>
              <w:rPr>
                <w:rFonts w:ascii="宋体" w:hAnsi="宋体" w:cs="宋体"/>
                <w:b/>
                <w:bCs/>
                <w:kern w:val="0"/>
                <w:sz w:val="24"/>
              </w:rPr>
            </w:pPr>
            <w:r>
              <w:rPr>
                <w:rFonts w:hint="eastAsia" w:ascii="宋体" w:hAnsi="宋体" w:cs="宋体"/>
                <w:b/>
                <w:bCs/>
                <w:kern w:val="0"/>
                <w:sz w:val="24"/>
              </w:rPr>
              <w:t>单位</w:t>
            </w:r>
          </w:p>
        </w:tc>
        <w:tc>
          <w:tcPr>
            <w:tcW w:w="893" w:type="dxa"/>
            <w:tcBorders>
              <w:top w:val="single" w:color="auto" w:sz="4" w:space="0"/>
              <w:left w:val="nil"/>
              <w:bottom w:val="single" w:color="auto" w:sz="4" w:space="0"/>
              <w:right w:val="single" w:color="auto" w:sz="4" w:space="0"/>
            </w:tcBorders>
            <w:vAlign w:val="top"/>
          </w:tcPr>
          <w:p>
            <w:pPr>
              <w:ind w:left="147" w:leftChars="70" w:right="147" w:rightChars="70"/>
              <w:rPr>
                <w:rFonts w:ascii="宋体" w:hAnsi="宋体" w:cs="宋体"/>
                <w:b/>
                <w:bCs/>
                <w:kern w:val="0"/>
                <w:sz w:val="24"/>
              </w:rPr>
            </w:pPr>
            <w:r>
              <w:rPr>
                <w:rFonts w:hint="eastAsia" w:ascii="宋体" w:hAnsi="宋体" w:cs="宋体"/>
                <w:b/>
                <w:bCs/>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489" w:type="dxa"/>
            <w:tcBorders>
              <w:top w:val="single" w:color="auto" w:sz="4" w:space="0"/>
              <w:left w:val="single" w:color="auto" w:sz="4" w:space="0"/>
              <w:bottom w:val="single" w:color="auto" w:sz="4" w:space="0"/>
              <w:right w:val="single" w:color="auto" w:sz="4" w:space="0"/>
            </w:tcBorders>
            <w:vAlign w:val="center"/>
          </w:tcPr>
          <w:p>
            <w:pPr>
              <w:spacing w:line="360" w:lineRule="auto"/>
              <w:ind w:right="147" w:rightChars="70"/>
              <w:jc w:val="center"/>
              <w:rPr>
                <w:rFonts w:ascii="宋体" w:hAnsi="宋体" w:cs="宋体"/>
                <w:kern w:val="0"/>
                <w:sz w:val="24"/>
              </w:rPr>
            </w:pPr>
            <w:r>
              <w:rPr>
                <w:rFonts w:hint="eastAsia" w:ascii="宋体" w:hAnsi="宋体" w:cs="宋体"/>
                <w:kern w:val="0"/>
                <w:sz w:val="24"/>
              </w:rPr>
              <w:t>1</w:t>
            </w:r>
          </w:p>
        </w:tc>
        <w:tc>
          <w:tcPr>
            <w:tcW w:w="1605" w:type="dxa"/>
            <w:tcBorders>
              <w:top w:val="single" w:color="auto" w:sz="4" w:space="0"/>
              <w:left w:val="nil"/>
              <w:bottom w:val="single" w:color="auto" w:sz="4" w:space="0"/>
              <w:right w:val="single" w:color="auto" w:sz="4" w:space="0"/>
            </w:tcBorders>
            <w:vAlign w:val="center"/>
          </w:tcPr>
          <w:p>
            <w:pPr>
              <w:spacing w:line="360" w:lineRule="auto"/>
              <w:ind w:right="147" w:rightChars="70"/>
              <w:jc w:val="center"/>
              <w:rPr>
                <w:rFonts w:ascii="宋体" w:hAnsi="宋体" w:cs="宋体"/>
                <w:kern w:val="0"/>
                <w:sz w:val="24"/>
              </w:rPr>
            </w:pPr>
            <w:r>
              <w:rPr>
                <w:rFonts w:hint="eastAsia" w:ascii="宋体" w:hAnsi="宋体" w:cs="宋体"/>
                <w:kern w:val="0"/>
                <w:sz w:val="24"/>
              </w:rPr>
              <w:t>历史库存档案、新收卷宗档案数字化服务</w:t>
            </w:r>
          </w:p>
        </w:tc>
        <w:tc>
          <w:tcPr>
            <w:tcW w:w="6105" w:type="dxa"/>
            <w:tcBorders>
              <w:top w:val="single" w:color="auto" w:sz="4" w:space="0"/>
              <w:left w:val="nil"/>
              <w:bottom w:val="single" w:color="auto" w:sz="4" w:space="0"/>
              <w:right w:val="single" w:color="auto" w:sz="4" w:space="0"/>
            </w:tcBorders>
            <w:vAlign w:val="center"/>
          </w:tcPr>
          <w:p>
            <w:pPr>
              <w:spacing w:line="360" w:lineRule="auto"/>
              <w:ind w:right="147" w:rightChars="70"/>
              <w:rPr>
                <w:rFonts w:ascii="宋体" w:hAnsi="宋体" w:cs="宋体"/>
                <w:kern w:val="0"/>
                <w:sz w:val="24"/>
              </w:rPr>
            </w:pPr>
            <w:r>
              <w:rPr>
                <w:rFonts w:hint="eastAsia" w:ascii="宋体" w:hAnsi="宋体" w:cs="宋体"/>
                <w:sz w:val="24"/>
              </w:rPr>
              <w:t>投标人必要制定有效措施确保数字化制作过程中档案卷宗的安全。</w:t>
            </w:r>
          </w:p>
        </w:tc>
        <w:tc>
          <w:tcPr>
            <w:tcW w:w="870" w:type="dxa"/>
            <w:tcBorders>
              <w:top w:val="single" w:color="auto" w:sz="4" w:space="0"/>
              <w:left w:val="nil"/>
              <w:bottom w:val="single" w:color="auto" w:sz="4" w:space="0"/>
              <w:right w:val="single" w:color="auto" w:sz="4" w:space="0"/>
            </w:tcBorders>
            <w:vAlign w:val="center"/>
          </w:tcPr>
          <w:p>
            <w:pPr>
              <w:spacing w:line="360" w:lineRule="auto"/>
              <w:ind w:right="147" w:rightChars="70"/>
              <w:jc w:val="center"/>
              <w:rPr>
                <w:rFonts w:ascii="宋体" w:hAnsi="宋体" w:cs="宋体"/>
                <w:kern w:val="0"/>
                <w:sz w:val="24"/>
              </w:rPr>
            </w:pPr>
            <w:r>
              <w:rPr>
                <w:rFonts w:hint="eastAsia" w:ascii="宋体" w:hAnsi="宋体" w:cs="宋体"/>
                <w:kern w:val="0"/>
                <w:sz w:val="24"/>
              </w:rPr>
              <w:t>页</w:t>
            </w:r>
          </w:p>
        </w:tc>
        <w:tc>
          <w:tcPr>
            <w:tcW w:w="893" w:type="dxa"/>
            <w:tcBorders>
              <w:top w:val="single" w:color="auto" w:sz="4" w:space="0"/>
              <w:left w:val="nil"/>
              <w:bottom w:val="single" w:color="auto" w:sz="4" w:space="0"/>
              <w:right w:val="single" w:color="auto" w:sz="4" w:space="0"/>
            </w:tcBorders>
            <w:vAlign w:val="center"/>
          </w:tcPr>
          <w:p>
            <w:pPr>
              <w:spacing w:line="360" w:lineRule="auto"/>
              <w:ind w:right="147" w:rightChars="70"/>
              <w:jc w:val="center"/>
              <w:rPr>
                <w:rFonts w:hint="eastAsia" w:ascii="宋体" w:hAnsi="宋体" w:eastAsia="宋体" w:cs="宋体"/>
                <w:kern w:val="0"/>
                <w:sz w:val="24"/>
                <w:lang w:eastAsia="zh-CN"/>
              </w:rPr>
            </w:pPr>
            <w:r>
              <w:rPr>
                <w:rFonts w:hint="eastAsia" w:ascii="宋体" w:hAnsi="宋体" w:cs="宋体"/>
                <w:kern w:val="0"/>
                <w:sz w:val="24"/>
                <w:lang w:val="en-US" w:eastAsia="zh-CN"/>
              </w:rPr>
              <w:t>5500000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489" w:type="dxa"/>
            <w:tcBorders>
              <w:top w:val="single" w:color="auto" w:sz="4" w:space="0"/>
              <w:left w:val="single" w:color="auto" w:sz="4" w:space="0"/>
              <w:bottom w:val="single" w:color="auto" w:sz="4" w:space="0"/>
              <w:right w:val="single" w:color="auto" w:sz="4" w:space="0"/>
            </w:tcBorders>
            <w:vAlign w:val="center"/>
          </w:tcPr>
          <w:p>
            <w:pPr>
              <w:spacing w:line="360" w:lineRule="auto"/>
              <w:ind w:right="147" w:rightChars="70"/>
              <w:jc w:val="center"/>
              <w:rPr>
                <w:rFonts w:ascii="宋体" w:hAnsi="宋体" w:cs="宋体"/>
                <w:kern w:val="0"/>
                <w:sz w:val="24"/>
              </w:rPr>
            </w:pPr>
            <w:r>
              <w:rPr>
                <w:rFonts w:hint="eastAsia" w:ascii="宋体" w:hAnsi="宋体" w:cs="宋体"/>
                <w:kern w:val="0"/>
                <w:sz w:val="24"/>
              </w:rPr>
              <w:t>2</w:t>
            </w:r>
          </w:p>
        </w:tc>
        <w:tc>
          <w:tcPr>
            <w:tcW w:w="1605" w:type="dxa"/>
            <w:tcBorders>
              <w:top w:val="single" w:color="auto" w:sz="4" w:space="0"/>
              <w:left w:val="nil"/>
              <w:bottom w:val="single" w:color="auto" w:sz="4" w:space="0"/>
              <w:right w:val="single" w:color="auto" w:sz="4" w:space="0"/>
            </w:tcBorders>
            <w:vAlign w:val="center"/>
          </w:tcPr>
          <w:p>
            <w:pPr>
              <w:spacing w:line="360" w:lineRule="auto"/>
              <w:ind w:right="147" w:rightChars="70"/>
              <w:jc w:val="center"/>
              <w:rPr>
                <w:rFonts w:ascii="宋体" w:hAnsi="宋体" w:cs="宋体"/>
                <w:kern w:val="0"/>
                <w:sz w:val="24"/>
              </w:rPr>
            </w:pPr>
            <w:r>
              <w:rPr>
                <w:rFonts w:hint="eastAsia" w:ascii="宋体" w:hAnsi="宋体" w:cs="宋体"/>
                <w:kern w:val="0"/>
                <w:sz w:val="24"/>
              </w:rPr>
              <w:t>本地档案数据备份、技术开发服务</w:t>
            </w:r>
          </w:p>
        </w:tc>
        <w:tc>
          <w:tcPr>
            <w:tcW w:w="6105" w:type="dxa"/>
            <w:tcBorders>
              <w:top w:val="single" w:color="auto" w:sz="4" w:space="0"/>
              <w:left w:val="nil"/>
              <w:bottom w:val="single" w:color="auto" w:sz="4" w:space="0"/>
              <w:right w:val="single" w:color="auto" w:sz="4" w:space="0"/>
            </w:tcBorders>
            <w:vAlign w:val="center"/>
          </w:tcPr>
          <w:p>
            <w:pPr>
              <w:spacing w:line="360" w:lineRule="auto"/>
              <w:ind w:right="147" w:rightChars="70"/>
              <w:rPr>
                <w:rFonts w:ascii="宋体" w:hAnsi="宋体" w:cs="宋体"/>
                <w:kern w:val="0"/>
                <w:sz w:val="24"/>
              </w:rPr>
            </w:pPr>
            <w:r>
              <w:rPr>
                <w:rFonts w:hint="eastAsia" w:ascii="宋体" w:hAnsi="宋体" w:cs="宋体"/>
                <w:kern w:val="0"/>
                <w:sz w:val="24"/>
              </w:rPr>
              <w:t>投标人提供本地档案数据备份服务，实现远</w:t>
            </w:r>
            <w:r>
              <w:rPr>
                <w:rFonts w:hint="eastAsia" w:ascii="宋体" w:hAnsi="宋体" w:cs="宋体"/>
                <w:color w:val="000000"/>
                <w:kern w:val="0"/>
                <w:sz w:val="24"/>
              </w:rPr>
              <w:t>程、本地数据的双活，同步更新。要求对原档案备份存储设备浪潮存储服务器进行磁盘容量扩容，满足本次数字化数据生产、同步备份需要。</w:t>
            </w:r>
            <w:r>
              <w:rPr>
                <w:rFonts w:hint="eastAsia" w:ascii="宋体" w:hAnsi="宋体" w:cs="宋体"/>
                <w:color w:val="000000"/>
                <w:kern w:val="0"/>
                <w:sz w:val="24"/>
                <w:lang w:eastAsia="zh-CN"/>
              </w:rPr>
              <w:t>需提供</w:t>
            </w:r>
            <w:r>
              <w:rPr>
                <w:rFonts w:hint="eastAsia" w:ascii="宋体" w:hAnsi="宋体" w:cs="宋体"/>
                <w:color w:val="000000"/>
                <w:kern w:val="0"/>
                <w:sz w:val="24"/>
                <w:lang w:val="en-US" w:eastAsia="zh-CN"/>
              </w:rPr>
              <w:t>2个2TB专业级服务器硬盘，类型：SATA，支持热插拔，缓存512M，转速7200转。</w:t>
            </w:r>
            <w:r>
              <w:rPr>
                <w:rFonts w:hint="eastAsia" w:ascii="宋体" w:hAnsi="宋体" w:cs="宋体"/>
                <w:color w:val="000000"/>
                <w:kern w:val="0"/>
                <w:sz w:val="24"/>
              </w:rPr>
              <w:t>为确保扩容时原有数据安全</w:t>
            </w:r>
            <w:r>
              <w:rPr>
                <w:rFonts w:hint="eastAsia" w:ascii="宋体" w:hAnsi="宋体" w:cs="宋体"/>
                <w:color w:val="000000"/>
                <w:kern w:val="0"/>
                <w:sz w:val="24"/>
                <w:lang w:eastAsia="zh-CN"/>
              </w:rPr>
              <w:t>，</w:t>
            </w:r>
            <w:r>
              <w:rPr>
                <w:rFonts w:hint="eastAsia" w:ascii="宋体" w:hAnsi="宋体" w:cs="宋体"/>
                <w:color w:val="000000"/>
                <w:kern w:val="0"/>
                <w:sz w:val="24"/>
              </w:rPr>
              <w:t>本地档案数据备份系统数据要求与全</w:t>
            </w:r>
            <w:r>
              <w:rPr>
                <w:rFonts w:hint="eastAsia" w:ascii="宋体" w:hAnsi="宋体" w:cs="宋体"/>
                <w:kern w:val="0"/>
                <w:sz w:val="24"/>
              </w:rPr>
              <w:t>省法院档案管理系统数据存储结构一致，符合15“法标”，确保档案故障时本地可进行快速切换、恢复和提供本地访问。</w:t>
            </w:r>
          </w:p>
          <w:p>
            <w:pPr>
              <w:spacing w:line="360" w:lineRule="auto"/>
              <w:ind w:right="147" w:rightChars="70"/>
              <w:rPr>
                <w:rFonts w:ascii="宋体" w:hAnsi="宋体" w:cs="宋体"/>
                <w:kern w:val="0"/>
                <w:sz w:val="24"/>
              </w:rPr>
            </w:pPr>
            <w:r>
              <w:rPr>
                <w:rFonts w:hint="eastAsia" w:ascii="宋体" w:hAnsi="宋体" w:cs="宋体"/>
                <w:kern w:val="0"/>
                <w:sz w:val="24"/>
              </w:rPr>
              <w:t>投标人确保档案数据应符合全省法院数据交换标准,实现档案数据于交换数据、审判数据的对接。</w:t>
            </w:r>
          </w:p>
        </w:tc>
        <w:tc>
          <w:tcPr>
            <w:tcW w:w="870" w:type="dxa"/>
            <w:tcBorders>
              <w:top w:val="single" w:color="auto" w:sz="4" w:space="0"/>
              <w:left w:val="nil"/>
              <w:bottom w:val="single" w:color="auto" w:sz="4" w:space="0"/>
              <w:right w:val="single" w:color="auto" w:sz="4" w:space="0"/>
            </w:tcBorders>
            <w:vAlign w:val="center"/>
          </w:tcPr>
          <w:p>
            <w:pPr>
              <w:spacing w:line="360" w:lineRule="auto"/>
              <w:ind w:right="147" w:rightChars="70"/>
              <w:jc w:val="center"/>
              <w:rPr>
                <w:rFonts w:ascii="宋体" w:hAnsi="宋体" w:cs="宋体"/>
                <w:kern w:val="0"/>
                <w:sz w:val="24"/>
              </w:rPr>
            </w:pPr>
            <w:r>
              <w:rPr>
                <w:rFonts w:hint="eastAsia" w:ascii="宋体" w:hAnsi="宋体" w:cs="宋体"/>
                <w:kern w:val="0"/>
                <w:sz w:val="24"/>
              </w:rPr>
              <w:t>项</w:t>
            </w:r>
          </w:p>
        </w:tc>
        <w:tc>
          <w:tcPr>
            <w:tcW w:w="893" w:type="dxa"/>
            <w:tcBorders>
              <w:top w:val="single" w:color="auto" w:sz="4" w:space="0"/>
              <w:left w:val="nil"/>
              <w:bottom w:val="single" w:color="auto" w:sz="4" w:space="0"/>
              <w:right w:val="single" w:color="auto" w:sz="4" w:space="0"/>
            </w:tcBorders>
            <w:vAlign w:val="center"/>
          </w:tcPr>
          <w:p>
            <w:pPr>
              <w:spacing w:line="360" w:lineRule="auto"/>
              <w:ind w:right="147" w:rightChars="70"/>
              <w:jc w:val="center"/>
              <w:rPr>
                <w:rFonts w:ascii="宋体" w:hAnsi="宋体" w:cs="宋体"/>
                <w:kern w:val="0"/>
                <w:sz w:val="24"/>
              </w:rPr>
            </w:pPr>
            <w:r>
              <w:rPr>
                <w:rFonts w:hint="eastAsia" w:ascii="宋体" w:hAnsi="宋体" w:cs="宋体"/>
                <w:kern w:val="0"/>
                <w:sz w:val="24"/>
              </w:rPr>
              <w:t>1</w:t>
            </w:r>
          </w:p>
        </w:tc>
      </w:tr>
    </w:tbl>
    <w:p>
      <w:pPr>
        <w:autoSpaceDE w:val="0"/>
        <w:autoSpaceDN w:val="0"/>
        <w:adjustRightInd w:val="0"/>
        <w:snapToGrid w:val="0"/>
        <w:spacing w:line="360" w:lineRule="auto"/>
        <w:ind w:firstLine="481"/>
        <w:outlineLvl w:val="0"/>
        <w:rPr>
          <w:rFonts w:hint="eastAsia" w:ascii="宋体" w:cs="宋体"/>
          <w:b/>
          <w:bCs/>
          <w:color w:val="auto"/>
          <w:sz w:val="24"/>
          <w:lang w:val="en-US" w:eastAsia="zh-CN"/>
        </w:rPr>
      </w:pPr>
    </w:p>
    <w:p>
      <w:pPr>
        <w:autoSpaceDE w:val="0"/>
        <w:autoSpaceDN w:val="0"/>
        <w:adjustRightInd w:val="0"/>
        <w:snapToGrid w:val="0"/>
        <w:spacing w:line="360" w:lineRule="auto"/>
        <w:ind w:firstLine="481"/>
        <w:outlineLvl w:val="0"/>
        <w:rPr>
          <w:rFonts w:hint="eastAsia" w:ascii="宋体" w:cs="宋体"/>
          <w:b/>
          <w:bCs/>
          <w:color w:val="auto"/>
          <w:sz w:val="24"/>
          <w:lang w:val="en-US" w:eastAsia="zh-CN"/>
        </w:rPr>
      </w:pPr>
      <w:r>
        <w:rPr>
          <w:rFonts w:hint="eastAsia" w:ascii="宋体" w:cs="宋体"/>
          <w:b/>
          <w:bCs/>
          <w:color w:val="auto"/>
          <w:sz w:val="24"/>
          <w:lang w:val="en-US" w:eastAsia="zh-CN"/>
        </w:rPr>
        <w:t>2.项目概况</w:t>
      </w:r>
    </w:p>
    <w:p>
      <w:pPr>
        <w:autoSpaceDE w:val="0"/>
        <w:autoSpaceDN w:val="0"/>
        <w:adjustRightInd w:val="0"/>
        <w:snapToGrid w:val="0"/>
        <w:spacing w:line="360" w:lineRule="auto"/>
        <w:ind w:firstLine="481"/>
        <w:outlineLvl w:val="0"/>
        <w:rPr>
          <w:rFonts w:hint="eastAsia" w:ascii="宋体" w:cs="宋体"/>
          <w:b/>
          <w:bCs/>
          <w:color w:val="auto"/>
          <w:sz w:val="24"/>
          <w:lang w:val="en-US" w:eastAsia="zh-CN"/>
        </w:rPr>
      </w:pPr>
      <w:r>
        <w:rPr>
          <w:rFonts w:hint="eastAsia" w:ascii="宋体" w:hAnsi="宋体" w:cs="宋体"/>
          <w:color w:val="auto"/>
          <w:kern w:val="0"/>
          <w:sz w:val="24"/>
        </w:rPr>
        <w:t>本次采购项目是对法院库存历史卷宗和新收卷宗进行集中数字化处理，处理过程应严格按照最高人民法院和省法院有关标准和要求开展数字化工作，确保数字化成果的质量、数据的统一规范、档案实体与信息的安全。本次档案数字化扫描包括刑事,民事,行政,执行，赔偿等历史卷宗和新收未归档卷宗档案,纸张大小包含(A1,A2,A3,A4,B5等),扫描要求封皮封底备考表全部扫描,封皮信息、卷内目录及关键字要求全部著录并挂接到河南省法院档案管理系统。</w:t>
      </w:r>
    </w:p>
    <w:p>
      <w:pPr>
        <w:autoSpaceDE w:val="0"/>
        <w:autoSpaceDN w:val="0"/>
        <w:adjustRightInd w:val="0"/>
        <w:snapToGrid w:val="0"/>
        <w:spacing w:line="360" w:lineRule="auto"/>
        <w:ind w:firstLine="481"/>
        <w:outlineLvl w:val="0"/>
        <w:rPr>
          <w:rFonts w:hint="eastAsia" w:ascii="宋体" w:hAnsi="宋体" w:cs="宋体"/>
          <w:b/>
          <w:bCs/>
          <w:color w:val="auto"/>
          <w:kern w:val="0"/>
          <w:sz w:val="24"/>
          <w:lang w:eastAsia="zh-CN"/>
        </w:rPr>
      </w:pPr>
      <w:r>
        <w:rPr>
          <w:rFonts w:hint="eastAsia" w:ascii="宋体" w:cs="宋体"/>
          <w:b/>
          <w:bCs/>
          <w:color w:val="auto"/>
          <w:sz w:val="24"/>
          <w:lang w:val="en-US" w:eastAsia="zh-CN"/>
        </w:rPr>
        <w:t>3.</w:t>
      </w:r>
      <w:r>
        <w:rPr>
          <w:rFonts w:hint="eastAsia" w:ascii="宋体" w:hAnsi="宋体" w:cs="宋体"/>
          <w:b/>
          <w:bCs/>
          <w:color w:val="auto"/>
          <w:kern w:val="0"/>
          <w:sz w:val="24"/>
        </w:rPr>
        <w:t>具体数字化过程要求</w:t>
      </w:r>
    </w:p>
    <w:p>
      <w:pPr>
        <w:snapToGrid w:val="0"/>
        <w:spacing w:line="42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3.1</w:t>
      </w:r>
      <w:r>
        <w:rPr>
          <w:rFonts w:hint="eastAsia" w:ascii="宋体" w:hAnsi="宋体" w:cs="宋体"/>
          <w:color w:val="auto"/>
          <w:kern w:val="0"/>
          <w:sz w:val="24"/>
        </w:rPr>
        <w:t>确保在扫描过程中不对档案原件造成二次损伤。</w:t>
      </w:r>
    </w:p>
    <w:p>
      <w:pPr>
        <w:snapToGrid w:val="0"/>
        <w:spacing w:line="42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3.2</w:t>
      </w:r>
      <w:r>
        <w:rPr>
          <w:rFonts w:hint="eastAsia" w:ascii="宋体" w:hAnsi="宋体" w:cs="宋体"/>
          <w:color w:val="auto"/>
          <w:kern w:val="0"/>
          <w:sz w:val="24"/>
        </w:rPr>
        <w:t>保证档案扫描图像与原件一致、整洁、清晰。</w:t>
      </w:r>
    </w:p>
    <w:p>
      <w:pPr>
        <w:snapToGrid w:val="0"/>
        <w:spacing w:line="42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3.3</w:t>
      </w:r>
      <w:r>
        <w:rPr>
          <w:rFonts w:hint="eastAsia" w:ascii="宋体" w:hAnsi="宋体" w:cs="宋体"/>
          <w:color w:val="auto"/>
          <w:kern w:val="0"/>
          <w:sz w:val="24"/>
        </w:rPr>
        <w:t>符合国家档案局《纸质档案数字化技术规范》、《人民法院电子诉讼档案管理暂行办法》（法【2013】283号）、《电子文件归档与管理规范》（GB/T18894-2002）相关技术要求；符合。</w:t>
      </w:r>
    </w:p>
    <w:p>
      <w:pPr>
        <w:snapToGrid w:val="0"/>
        <w:spacing w:line="42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3.4</w:t>
      </w:r>
      <w:r>
        <w:rPr>
          <w:rFonts w:hint="eastAsia" w:ascii="宋体" w:hAnsi="宋体" w:cs="宋体"/>
          <w:color w:val="auto"/>
          <w:kern w:val="0"/>
          <w:sz w:val="24"/>
        </w:rPr>
        <w:t>封皮、目录、卷内信息备考表、封底全部扫描，签章、签字、图片照片彩色信息内容采用JPG彩色处理。</w:t>
      </w:r>
    </w:p>
    <w:p>
      <w:pPr>
        <w:snapToGrid w:val="0"/>
        <w:spacing w:line="42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3.</w:t>
      </w:r>
      <w:r>
        <w:rPr>
          <w:rFonts w:hint="eastAsia" w:ascii="宋体" w:hAnsi="宋体" w:cs="宋体"/>
          <w:color w:val="auto"/>
          <w:kern w:val="0"/>
          <w:sz w:val="24"/>
        </w:rPr>
        <w:t>5封皮信息、卷内目录信息及关键词全部著录，著录内容及关键词每卷不少于50条，已方便日后查阅。</w:t>
      </w:r>
    </w:p>
    <w:p>
      <w:pPr>
        <w:snapToGrid w:val="0"/>
        <w:spacing w:line="42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3.6</w:t>
      </w:r>
      <w:r>
        <w:rPr>
          <w:rFonts w:hint="eastAsia" w:ascii="宋体" w:hAnsi="宋体" w:cs="宋体"/>
          <w:color w:val="auto"/>
          <w:kern w:val="0"/>
          <w:sz w:val="24"/>
        </w:rPr>
        <w:t>依据省高院要求：档案管理系统可以与法院案件庭审视频档案、庭审笔录档案进行对接，形成完整的档案库。</w:t>
      </w:r>
    </w:p>
    <w:p>
      <w:pPr>
        <w:snapToGrid w:val="0"/>
        <w:spacing w:line="42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3.7</w:t>
      </w:r>
      <w:r>
        <w:rPr>
          <w:rFonts w:hint="eastAsia" w:ascii="宋体" w:hAnsi="宋体" w:cs="宋体"/>
          <w:color w:val="auto"/>
          <w:kern w:val="0"/>
          <w:sz w:val="24"/>
        </w:rPr>
        <w:t>本项目包含原卷宗数字化加工数据迁移及综合应用系统的升级服务。</w:t>
      </w:r>
    </w:p>
    <w:p>
      <w:pPr>
        <w:snapToGrid w:val="0"/>
        <w:spacing w:line="42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3.8</w:t>
      </w:r>
      <w:r>
        <w:rPr>
          <w:rFonts w:hint="eastAsia" w:ascii="宋体" w:hAnsi="宋体" w:cs="宋体"/>
          <w:color w:val="auto"/>
          <w:kern w:val="0"/>
          <w:sz w:val="24"/>
        </w:rPr>
        <w:t>根据省法院要求做到与省法院数字化平台实现无缝对接。</w:t>
      </w:r>
    </w:p>
    <w:p>
      <w:pPr>
        <w:autoSpaceDE w:val="0"/>
        <w:autoSpaceDN w:val="0"/>
        <w:adjustRightInd w:val="0"/>
        <w:snapToGrid w:val="0"/>
        <w:spacing w:line="360" w:lineRule="auto"/>
        <w:ind w:firstLine="481"/>
        <w:outlineLvl w:val="0"/>
        <w:rPr>
          <w:rFonts w:hint="eastAsia" w:ascii="宋体" w:hAnsi="宋体" w:cs="宋体"/>
          <w:color w:val="auto"/>
          <w:kern w:val="0"/>
          <w:sz w:val="24"/>
        </w:rPr>
      </w:pPr>
      <w:r>
        <w:rPr>
          <w:rFonts w:hint="eastAsia" w:ascii="宋体" w:hAnsi="宋体" w:cs="宋体"/>
          <w:color w:val="auto"/>
          <w:kern w:val="0"/>
          <w:sz w:val="24"/>
          <w:lang w:val="en-US" w:eastAsia="zh-CN"/>
        </w:rPr>
        <w:t>3.9</w:t>
      </w:r>
      <w:r>
        <w:rPr>
          <w:rFonts w:hint="eastAsia" w:ascii="宋体" w:hAnsi="宋体" w:cs="宋体"/>
          <w:color w:val="auto"/>
          <w:kern w:val="0"/>
          <w:sz w:val="24"/>
        </w:rPr>
        <w:t>数字化成果：档案数据要求统一挂接到河南省法院档案管理系统内,并要求100%通过系统质检，进入统计库。为接入全国电子档案库和建立全国法院裁判文书全文数据库做准备。同时提供本地电子借阅服务。</w:t>
      </w:r>
    </w:p>
    <w:p>
      <w:pPr>
        <w:autoSpaceDE w:val="0"/>
        <w:autoSpaceDN w:val="0"/>
        <w:adjustRightInd w:val="0"/>
        <w:snapToGrid w:val="0"/>
        <w:spacing w:line="360" w:lineRule="auto"/>
        <w:ind w:firstLine="481"/>
        <w:outlineLvl w:val="0"/>
        <w:rPr>
          <w:rFonts w:hint="eastAsia" w:ascii="宋体" w:hAnsi="宋体" w:cs="宋体"/>
          <w:color w:val="auto"/>
          <w:kern w:val="0"/>
          <w:sz w:val="24"/>
        </w:rPr>
      </w:pPr>
      <w:r>
        <w:rPr>
          <w:rFonts w:hint="eastAsia" w:ascii="宋体" w:hAnsi="宋体" w:cs="宋体"/>
          <w:color w:val="auto"/>
          <w:kern w:val="0"/>
          <w:sz w:val="24"/>
          <w:lang w:val="en-US" w:eastAsia="zh-CN"/>
        </w:rPr>
        <w:t>3.10</w:t>
      </w:r>
      <w:r>
        <w:rPr>
          <w:rFonts w:hint="eastAsia" w:ascii="宋体" w:hAnsi="宋体" w:cs="宋体"/>
          <w:color w:val="auto"/>
          <w:kern w:val="0"/>
          <w:sz w:val="24"/>
        </w:rPr>
        <w:t>案卷交接整理统计要求</w:t>
      </w:r>
      <w:r>
        <w:rPr>
          <w:rFonts w:hint="eastAsia" w:ascii="宋体" w:hAnsi="宋体" w:cs="宋体"/>
          <w:color w:val="auto"/>
          <w:kern w:val="0"/>
          <w:sz w:val="24"/>
          <w:lang w:eastAsia="zh-CN"/>
        </w:rPr>
        <w:t>：</w:t>
      </w:r>
      <w:r>
        <w:rPr>
          <w:rFonts w:hint="eastAsia" w:ascii="宋体" w:hAnsi="宋体" w:cs="宋体"/>
          <w:color w:val="auto"/>
          <w:kern w:val="0"/>
          <w:sz w:val="24"/>
        </w:rPr>
        <w:t>项目开始前，对需加工案卷进行整理统计，注明年度、类型、归档号（案号）、号内卷数，如遇特殊情况，备注说明，一式三份，客户方存一份，加工组一份，公司一份，进入场地后，按照归档号进行案卷加工，完成一个流水号后，进行还卷。项目加工完成后，对加工案卷进行统一清点。</w:t>
      </w:r>
    </w:p>
    <w:p>
      <w:pPr>
        <w:autoSpaceDE w:val="0"/>
        <w:autoSpaceDN w:val="0"/>
        <w:adjustRightInd w:val="0"/>
        <w:snapToGrid w:val="0"/>
        <w:spacing w:line="360" w:lineRule="auto"/>
        <w:outlineLvl w:val="0"/>
        <w:rPr>
          <w:rFonts w:hint="eastAsia" w:ascii="宋体" w:eastAsia="宋体" w:cs="宋体"/>
          <w:b/>
          <w:bCs/>
          <w:color w:val="auto"/>
          <w:sz w:val="24"/>
          <w:lang w:val="en-US" w:eastAsia="zh-CN"/>
        </w:rPr>
      </w:pPr>
      <w:r>
        <w:rPr>
          <w:rFonts w:hint="eastAsia" w:ascii="宋体" w:cs="宋体"/>
          <w:b/>
          <w:bCs/>
          <w:color w:val="auto"/>
          <w:sz w:val="24"/>
          <w:lang w:val="en-US" w:eastAsia="zh-CN"/>
        </w:rPr>
        <w:t xml:space="preserve">    4.</w:t>
      </w:r>
      <w:r>
        <w:rPr>
          <w:rFonts w:hint="eastAsia" w:ascii="宋体" w:hAnsi="宋体" w:cs="宋体"/>
          <w:b/>
          <w:bCs/>
          <w:color w:val="auto"/>
          <w:kern w:val="0"/>
          <w:sz w:val="24"/>
        </w:rPr>
        <w:t>扫描加工要求</w:t>
      </w:r>
    </w:p>
    <w:p>
      <w:pPr>
        <w:snapToGrid w:val="0"/>
        <w:spacing w:line="42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4.1</w:t>
      </w:r>
      <w:r>
        <w:rPr>
          <w:rFonts w:hint="eastAsia" w:ascii="宋体" w:hAnsi="宋体" w:cs="宋体"/>
          <w:color w:val="auto"/>
          <w:kern w:val="0"/>
          <w:sz w:val="24"/>
        </w:rPr>
        <w:t>扫描前应先对案卷进行预处理，启钉、拆分，保证纸张的平整、抚平边角。</w:t>
      </w:r>
    </w:p>
    <w:p>
      <w:pPr>
        <w:snapToGrid w:val="0"/>
        <w:spacing w:line="42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4.2</w:t>
      </w:r>
      <w:r>
        <w:rPr>
          <w:rFonts w:hint="eastAsia" w:ascii="宋体" w:hAnsi="宋体" w:cs="宋体"/>
          <w:color w:val="auto"/>
          <w:kern w:val="0"/>
          <w:sz w:val="24"/>
        </w:rPr>
        <w:t>采用最为可靠的扫描设备和扫描方式完成档案扫描，避免纸张褶皱、撕裂、破损等情况的发生。</w:t>
      </w:r>
    </w:p>
    <w:p>
      <w:pPr>
        <w:snapToGrid w:val="0"/>
        <w:spacing w:line="42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4.3</w:t>
      </w:r>
      <w:r>
        <w:rPr>
          <w:rFonts w:hint="eastAsia" w:ascii="宋体" w:hAnsi="宋体" w:cs="宋体"/>
          <w:color w:val="auto"/>
          <w:kern w:val="0"/>
          <w:sz w:val="24"/>
        </w:rPr>
        <w:t>如遇到档案纸张质地脆弱，应采用不拆卷扫描设备和方式进行扫描。</w:t>
      </w:r>
    </w:p>
    <w:p>
      <w:pPr>
        <w:snapToGrid w:val="0"/>
        <w:spacing w:line="42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4.4</w:t>
      </w:r>
      <w:r>
        <w:rPr>
          <w:rFonts w:hint="eastAsia" w:ascii="宋体" w:hAnsi="宋体" w:cs="宋体"/>
          <w:color w:val="auto"/>
          <w:kern w:val="0"/>
          <w:sz w:val="24"/>
        </w:rPr>
        <w:t>为更好的展现卷宗档案原貌，扫描要求：提供最终利用的电子档案分辨率不低于300dpi，保持档案原貌。</w:t>
      </w:r>
    </w:p>
    <w:p>
      <w:pPr>
        <w:snapToGrid w:val="0"/>
        <w:spacing w:line="42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4.5</w:t>
      </w:r>
      <w:r>
        <w:rPr>
          <w:rFonts w:hint="eastAsia" w:ascii="宋体" w:hAnsi="宋体" w:cs="宋体"/>
          <w:color w:val="auto"/>
          <w:kern w:val="0"/>
          <w:sz w:val="24"/>
        </w:rPr>
        <w:t>扫描时，应根据纸张质地、底色、薄厚程度等因素，设置最佳的扫描明暗度、对比度设置，保证原始扫描图像效果与原件吻合。</w:t>
      </w:r>
    </w:p>
    <w:p>
      <w:pPr>
        <w:snapToGrid w:val="0"/>
        <w:spacing w:line="42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4.6</w:t>
      </w:r>
      <w:r>
        <w:rPr>
          <w:rFonts w:hint="eastAsia" w:ascii="宋体" w:hAnsi="宋体" w:cs="宋体"/>
          <w:color w:val="auto"/>
          <w:kern w:val="0"/>
          <w:sz w:val="24"/>
        </w:rPr>
        <w:t>采用平板进纸方式扫描，尽量确保纸张扫描时放置端正，从而保证原始扫描图像无歪斜，减少后期处理可能带来的图像失真。</w:t>
      </w:r>
    </w:p>
    <w:p>
      <w:pPr>
        <w:snapToGrid w:val="0"/>
        <w:spacing w:line="42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4.7</w:t>
      </w:r>
      <w:r>
        <w:rPr>
          <w:rFonts w:hint="eastAsia" w:ascii="宋体" w:hAnsi="宋体" w:cs="宋体"/>
          <w:color w:val="auto"/>
          <w:kern w:val="0"/>
          <w:sz w:val="24"/>
        </w:rPr>
        <w:t>对于档案中的“筒子页”，应当平摊开后进行整幅扫描。折子页、图纸、表格等应整页扫描。超长页进行分页扫描后，要拼接成一页。</w:t>
      </w:r>
    </w:p>
    <w:p>
      <w:pPr>
        <w:autoSpaceDE w:val="0"/>
        <w:autoSpaceDN w:val="0"/>
        <w:adjustRightInd w:val="0"/>
        <w:snapToGrid w:val="0"/>
        <w:spacing w:line="360" w:lineRule="auto"/>
        <w:ind w:firstLine="481"/>
        <w:outlineLvl w:val="0"/>
        <w:rPr>
          <w:rFonts w:hint="eastAsia" w:ascii="宋体" w:hAnsi="宋体" w:cs="宋体"/>
          <w:b/>
          <w:bCs/>
          <w:color w:val="auto"/>
          <w:kern w:val="0"/>
          <w:sz w:val="24"/>
        </w:rPr>
      </w:pPr>
      <w:r>
        <w:rPr>
          <w:rFonts w:hint="eastAsia" w:ascii="宋体" w:cs="宋体"/>
          <w:b/>
          <w:bCs/>
          <w:color w:val="auto"/>
          <w:sz w:val="24"/>
          <w:lang w:val="en-US" w:eastAsia="zh-CN"/>
        </w:rPr>
        <w:t>5.</w:t>
      </w:r>
      <w:r>
        <w:rPr>
          <w:rFonts w:hint="eastAsia" w:ascii="宋体" w:hAnsi="宋体" w:cs="宋体"/>
          <w:b/>
          <w:bCs/>
          <w:color w:val="auto"/>
          <w:kern w:val="0"/>
          <w:sz w:val="24"/>
        </w:rPr>
        <w:t>图像处理要求</w:t>
      </w:r>
    </w:p>
    <w:p>
      <w:pPr>
        <w:snapToGrid w:val="0"/>
        <w:spacing w:line="420" w:lineRule="auto"/>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rPr>
        <w:t>扫描后的原始图像需要进行优化处理，保证诉讼档案扫描图像完整、整洁、端正无歪斜、无黑边、浏览及打印清晰。根据档案扫描后的具体情况，要进行如下图像处理：</w:t>
      </w:r>
    </w:p>
    <w:p>
      <w:pPr>
        <w:snapToGrid w:val="0"/>
        <w:spacing w:line="42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5.1</w:t>
      </w:r>
      <w:r>
        <w:rPr>
          <w:rFonts w:hint="eastAsia" w:ascii="宋体" w:hAnsi="宋体" w:cs="宋体"/>
          <w:color w:val="auto"/>
          <w:kern w:val="0"/>
          <w:sz w:val="24"/>
        </w:rPr>
        <w:t>图像歪斜：采用自动或手动纠偏功能，调整图像角度。图像偏斜度不超过2度，对方向不正确的图像应进行旋转还原，以符合阅读习惯。</w:t>
      </w:r>
    </w:p>
    <w:p>
      <w:pPr>
        <w:snapToGrid w:val="0"/>
        <w:spacing w:line="42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5.2</w:t>
      </w:r>
      <w:r>
        <w:rPr>
          <w:rFonts w:hint="eastAsia" w:ascii="宋体" w:hAnsi="宋体" w:cs="宋体"/>
          <w:color w:val="auto"/>
          <w:kern w:val="0"/>
          <w:sz w:val="24"/>
        </w:rPr>
        <w:t>图像脏点、脏斑：对图像页面中出现的影响图像质量的杂质如黑点、黑线、黑框、黑边等应进行去污处理。处理过程中应遵循保持档案原貌的原则。为了节省存储空间，应对图像进行裁边处理，去除多余白边。</w:t>
      </w:r>
    </w:p>
    <w:p>
      <w:pPr>
        <w:snapToGrid w:val="0"/>
        <w:spacing w:line="42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5.3</w:t>
      </w:r>
      <w:r>
        <w:rPr>
          <w:rFonts w:hint="eastAsia" w:ascii="宋体" w:hAnsi="宋体" w:cs="宋体"/>
          <w:color w:val="auto"/>
          <w:kern w:val="0"/>
          <w:sz w:val="24"/>
        </w:rPr>
        <w:t>字迹洇透：采用字迹锐化的功能，清晰字迹笔画。</w:t>
      </w:r>
    </w:p>
    <w:p>
      <w:pPr>
        <w:snapToGrid w:val="0"/>
        <w:spacing w:line="42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5.4</w:t>
      </w:r>
      <w:r>
        <w:rPr>
          <w:rFonts w:hint="eastAsia" w:ascii="宋体" w:hAnsi="宋体" w:cs="宋体"/>
          <w:color w:val="auto"/>
          <w:kern w:val="0"/>
          <w:sz w:val="24"/>
        </w:rPr>
        <w:t>图像深浅不一：采用平衡功能，调整图像深浅一致。</w:t>
      </w:r>
    </w:p>
    <w:p>
      <w:pPr>
        <w:snapToGrid w:val="0"/>
        <w:spacing w:line="42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5.5</w:t>
      </w:r>
      <w:r>
        <w:rPr>
          <w:rFonts w:hint="eastAsia" w:ascii="宋体" w:hAnsi="宋体" w:cs="宋体"/>
          <w:color w:val="auto"/>
          <w:kern w:val="0"/>
          <w:sz w:val="24"/>
        </w:rPr>
        <w:t>扫描图像格式为JPG 、及转换后的图像像素≧300Dpi。</w:t>
      </w:r>
    </w:p>
    <w:p>
      <w:pPr>
        <w:autoSpaceDE w:val="0"/>
        <w:autoSpaceDN w:val="0"/>
        <w:adjustRightInd w:val="0"/>
        <w:snapToGrid w:val="0"/>
        <w:spacing w:line="360" w:lineRule="auto"/>
        <w:ind w:firstLine="481"/>
        <w:outlineLvl w:val="0"/>
        <w:rPr>
          <w:rFonts w:hint="eastAsia" w:ascii="宋体" w:hAnsi="宋体" w:cs="宋体"/>
          <w:b/>
          <w:bCs/>
          <w:color w:val="auto"/>
          <w:kern w:val="0"/>
          <w:sz w:val="24"/>
        </w:rPr>
      </w:pPr>
      <w:r>
        <w:rPr>
          <w:rFonts w:hint="eastAsia" w:ascii="宋体" w:cs="宋体"/>
          <w:b/>
          <w:bCs/>
          <w:color w:val="auto"/>
          <w:sz w:val="24"/>
          <w:lang w:val="en-US" w:eastAsia="zh-CN"/>
        </w:rPr>
        <w:t>6.</w:t>
      </w:r>
      <w:r>
        <w:rPr>
          <w:rFonts w:hint="eastAsia" w:ascii="宋体" w:hAnsi="宋体" w:cs="宋体"/>
          <w:b/>
          <w:bCs/>
          <w:color w:val="auto"/>
          <w:kern w:val="0"/>
          <w:sz w:val="24"/>
        </w:rPr>
        <w:t>档案整理装订</w:t>
      </w:r>
    </w:p>
    <w:p>
      <w:pPr>
        <w:snapToGrid w:val="0"/>
        <w:spacing w:line="420" w:lineRule="auto"/>
        <w:ind w:firstLine="480" w:firstLineChars="200"/>
        <w:rPr>
          <w:rFonts w:hint="eastAsia" w:ascii="宋体" w:hAnsi="宋体" w:cs="宋体"/>
          <w:color w:val="auto"/>
          <w:kern w:val="0"/>
          <w:sz w:val="24"/>
        </w:rPr>
      </w:pPr>
      <w:r>
        <w:rPr>
          <w:rFonts w:hint="eastAsia" w:ascii="宋体" w:hAnsi="宋体" w:cs="宋体"/>
          <w:color w:val="auto"/>
          <w:kern w:val="0"/>
          <w:sz w:val="24"/>
        </w:rPr>
        <w:t>档案扫描完成后，要进行细致认真的装订。具体装订要求如下：</w:t>
      </w:r>
    </w:p>
    <w:p>
      <w:pPr>
        <w:snapToGrid w:val="0"/>
        <w:spacing w:line="42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6.1</w:t>
      </w:r>
      <w:r>
        <w:rPr>
          <w:rFonts w:hint="eastAsia" w:ascii="宋体" w:hAnsi="宋体" w:cs="宋体"/>
          <w:color w:val="auto"/>
          <w:kern w:val="0"/>
          <w:sz w:val="24"/>
        </w:rPr>
        <w:t>遵循尽可能保持档案原貌的原则，对扫描后的档案进行装订。</w:t>
      </w:r>
    </w:p>
    <w:p>
      <w:pPr>
        <w:snapToGrid w:val="0"/>
        <w:spacing w:line="42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6.2</w:t>
      </w:r>
      <w:r>
        <w:rPr>
          <w:rFonts w:hint="eastAsia" w:ascii="宋体" w:hAnsi="宋体" w:cs="宋体"/>
          <w:color w:val="auto"/>
          <w:kern w:val="0"/>
          <w:sz w:val="24"/>
        </w:rPr>
        <w:t xml:space="preserve"> 档案装订应按照历史档案原有的装订方向进行，不可更换装订的位置（如：改右装订为左装订）。</w:t>
      </w:r>
    </w:p>
    <w:p>
      <w:pPr>
        <w:snapToGrid w:val="0"/>
        <w:spacing w:line="42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6.3</w:t>
      </w:r>
      <w:r>
        <w:rPr>
          <w:rFonts w:hint="eastAsia" w:ascii="宋体" w:hAnsi="宋体" w:cs="宋体"/>
          <w:color w:val="auto"/>
          <w:kern w:val="0"/>
          <w:sz w:val="24"/>
        </w:rPr>
        <w:t>对于装订时某些页面必须进行折叠的情况，应以尽可能地减少折痕数为原则，能不折叠就尽量不折叠。</w:t>
      </w:r>
    </w:p>
    <w:p>
      <w:pPr>
        <w:snapToGrid w:val="0"/>
        <w:spacing w:line="42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6.4</w:t>
      </w:r>
      <w:r>
        <w:rPr>
          <w:rFonts w:hint="eastAsia" w:ascii="宋体" w:hAnsi="宋体" w:cs="宋体"/>
          <w:color w:val="auto"/>
          <w:kern w:val="0"/>
          <w:sz w:val="24"/>
        </w:rPr>
        <w:t>档案装订必须采用专业装订线进行装订，不可使用金属装订物；如原始档案中发现金属装订物，应予以剔除。</w:t>
      </w:r>
    </w:p>
    <w:p>
      <w:pPr>
        <w:snapToGrid w:val="0"/>
        <w:spacing w:line="42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6.5</w:t>
      </w:r>
      <w:r>
        <w:rPr>
          <w:rFonts w:hint="eastAsia" w:ascii="宋体" w:hAnsi="宋体" w:cs="宋体"/>
          <w:color w:val="auto"/>
          <w:kern w:val="0"/>
          <w:sz w:val="24"/>
        </w:rPr>
        <w:t>档案装订，应遵循“两对齐”要求，即装订线一侧边缘对齐，档案内页下边缘对齐。</w:t>
      </w:r>
    </w:p>
    <w:p>
      <w:pPr>
        <w:snapToGrid w:val="0"/>
        <w:spacing w:line="42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6.6</w:t>
      </w:r>
      <w:r>
        <w:rPr>
          <w:rFonts w:hint="eastAsia" w:ascii="宋体" w:hAnsi="宋体" w:cs="宋体"/>
          <w:color w:val="auto"/>
          <w:kern w:val="0"/>
          <w:sz w:val="24"/>
        </w:rPr>
        <w:t>档案装订应尽可能地按照原来的装订孔位进行穿线装订，尽量不要新打孔装订，力求保护原件。</w:t>
      </w:r>
    </w:p>
    <w:p>
      <w:pPr>
        <w:autoSpaceDE w:val="0"/>
        <w:autoSpaceDN w:val="0"/>
        <w:adjustRightInd w:val="0"/>
        <w:snapToGrid w:val="0"/>
        <w:spacing w:line="360" w:lineRule="auto"/>
        <w:ind w:firstLine="481"/>
        <w:outlineLvl w:val="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7.</w:t>
      </w:r>
      <w:r>
        <w:rPr>
          <w:rFonts w:hint="eastAsia" w:ascii="宋体" w:hAnsi="宋体" w:cs="宋体"/>
          <w:color w:val="auto"/>
          <w:kern w:val="0"/>
          <w:sz w:val="24"/>
        </w:rPr>
        <w:t>图像数据挂接</w:t>
      </w:r>
    </w:p>
    <w:p>
      <w:pPr>
        <w:snapToGrid w:val="0"/>
        <w:spacing w:line="42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7.1</w:t>
      </w:r>
      <w:r>
        <w:rPr>
          <w:rFonts w:hint="eastAsia" w:ascii="宋体" w:hAnsi="宋体" w:cs="宋体"/>
          <w:color w:val="auto"/>
          <w:kern w:val="0"/>
          <w:sz w:val="24"/>
        </w:rPr>
        <w:t>档案扫描完成后，需要与法院现有的计算机目录数据进行一一对应。其中，扫描文件以卷为单位进行存储，案卷目录应对应到相应图像文件所在的文件夹；卷内目录应对应到相应页数的图像文件。</w:t>
      </w:r>
    </w:p>
    <w:p>
      <w:pPr>
        <w:snapToGrid w:val="0"/>
        <w:spacing w:line="42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7.2</w:t>
      </w:r>
      <w:r>
        <w:rPr>
          <w:rFonts w:hint="eastAsia" w:ascii="宋体" w:hAnsi="宋体" w:cs="宋体"/>
          <w:color w:val="auto"/>
          <w:kern w:val="0"/>
          <w:sz w:val="24"/>
        </w:rPr>
        <w:t>为确保数据挂接的正确性，投标方应确保档案目录数据与档案扫描图像的一一对应，确保加工扫描成果在招标方所使用的档案管理系统中有效检索和显示。</w:t>
      </w:r>
    </w:p>
    <w:p>
      <w:pPr>
        <w:snapToGrid w:val="0"/>
        <w:spacing w:line="42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7.3</w:t>
      </w:r>
      <w:r>
        <w:rPr>
          <w:rFonts w:hint="eastAsia" w:ascii="宋体" w:hAnsi="宋体" w:cs="宋体"/>
          <w:color w:val="auto"/>
          <w:kern w:val="0"/>
          <w:sz w:val="24"/>
        </w:rPr>
        <w:t>图像处理合格的数字档案必须及时上传到全省法院档案管理系统中。满足省法院一级部署、数据集中存储的要求。完成后实现法院档案电子借阅、跨院调卷、统计分析等有效利用。</w:t>
      </w:r>
    </w:p>
    <w:p>
      <w:pPr>
        <w:snapToGrid w:val="0"/>
        <w:spacing w:line="42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7.4</w:t>
      </w:r>
      <w:r>
        <w:rPr>
          <w:rFonts w:hint="eastAsia" w:ascii="宋体" w:hAnsi="宋体" w:cs="宋体"/>
          <w:color w:val="auto"/>
          <w:kern w:val="0"/>
          <w:sz w:val="24"/>
        </w:rPr>
        <w:t>为确保数据挂接的正确性，档案著录挂接应确保档案目录数据与档案扫描图像一一对应，案卷目录、卷内目录100%挂接正确。确保加工扫描成果可以在河南省法院档案管理系统中进行有效检索和显示。</w:t>
      </w:r>
    </w:p>
    <w:p>
      <w:pPr>
        <w:snapToGrid w:val="0"/>
        <w:spacing w:line="420" w:lineRule="auto"/>
        <w:ind w:firstLine="480" w:firstLineChars="200"/>
        <w:rPr>
          <w:rFonts w:hint="eastAsia" w:ascii="宋体" w:hAnsi="宋体" w:cs="宋体"/>
          <w:b/>
          <w:bCs/>
          <w:color w:val="auto"/>
          <w:kern w:val="0"/>
          <w:sz w:val="24"/>
        </w:rPr>
      </w:pPr>
      <w:r>
        <w:rPr>
          <w:rFonts w:hint="eastAsia" w:ascii="宋体" w:hAnsi="宋体" w:cs="宋体"/>
          <w:b/>
          <w:bCs/>
          <w:color w:val="auto"/>
          <w:kern w:val="0"/>
          <w:sz w:val="24"/>
          <w:lang w:val="en-US" w:eastAsia="zh-CN"/>
        </w:rPr>
        <w:t>8.</w:t>
      </w:r>
      <w:r>
        <w:rPr>
          <w:rFonts w:hint="eastAsia" w:ascii="宋体" w:hAnsi="宋体" w:cs="宋体"/>
          <w:b/>
          <w:bCs/>
          <w:color w:val="auto"/>
          <w:kern w:val="0"/>
          <w:sz w:val="24"/>
        </w:rPr>
        <w:t>数据备份光盘要求</w:t>
      </w:r>
    </w:p>
    <w:p>
      <w:pPr>
        <w:snapToGrid w:val="0"/>
        <w:spacing w:line="42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8.1</w:t>
      </w:r>
      <w:r>
        <w:rPr>
          <w:rFonts w:hint="eastAsia" w:ascii="宋体" w:hAnsi="宋体" w:cs="宋体"/>
          <w:color w:val="auto"/>
          <w:kern w:val="0"/>
          <w:sz w:val="24"/>
        </w:rPr>
        <w:t>提交原始扫描图像及转换后的图像（JPG 300Dpi）数据DVD光盘1套，内容包括：</w:t>
      </w:r>
    </w:p>
    <w:p>
      <w:pPr>
        <w:snapToGrid w:val="0"/>
        <w:spacing w:line="42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8.1.1</w:t>
      </w:r>
      <w:r>
        <w:rPr>
          <w:rFonts w:hint="eastAsia" w:ascii="宋体" w:hAnsi="宋体" w:cs="宋体"/>
          <w:color w:val="auto"/>
          <w:kern w:val="0"/>
          <w:sz w:val="24"/>
        </w:rPr>
        <w:t>本盘内所包含档案卷号及图像清单（Excel格式）；</w:t>
      </w:r>
    </w:p>
    <w:p>
      <w:pPr>
        <w:snapToGrid w:val="0"/>
        <w:spacing w:line="42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8.1.2</w:t>
      </w:r>
      <w:r>
        <w:rPr>
          <w:rFonts w:hint="eastAsia" w:ascii="宋体" w:hAnsi="宋体" w:cs="宋体"/>
          <w:color w:val="auto"/>
          <w:kern w:val="0"/>
          <w:sz w:val="24"/>
        </w:rPr>
        <w:t>档案扫描图像文件和档案目录数据；</w:t>
      </w:r>
    </w:p>
    <w:p>
      <w:pPr>
        <w:snapToGrid w:val="0"/>
        <w:spacing w:line="42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8.1.3</w:t>
      </w:r>
      <w:r>
        <w:rPr>
          <w:rFonts w:hint="eastAsia" w:ascii="宋体" w:hAnsi="宋体" w:cs="宋体"/>
          <w:color w:val="auto"/>
          <w:kern w:val="0"/>
          <w:sz w:val="24"/>
        </w:rPr>
        <w:t>光盘封面标示符合投标方要求；</w:t>
      </w:r>
    </w:p>
    <w:p>
      <w:pPr>
        <w:snapToGrid w:val="0"/>
        <w:spacing w:line="42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8.2</w:t>
      </w:r>
      <w:r>
        <w:rPr>
          <w:rFonts w:hint="eastAsia" w:ascii="宋体" w:hAnsi="宋体" w:cs="宋体"/>
          <w:color w:val="auto"/>
          <w:kern w:val="0"/>
          <w:sz w:val="24"/>
        </w:rPr>
        <w:t>提交光盘刻录目录表一套，记录光盘号与案卷内容。</w:t>
      </w:r>
    </w:p>
    <w:p>
      <w:pPr>
        <w:snapToGrid w:val="0"/>
        <w:spacing w:line="42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8.3</w:t>
      </w:r>
      <w:r>
        <w:rPr>
          <w:rFonts w:hint="eastAsia" w:ascii="宋体" w:hAnsi="宋体" w:cs="宋体"/>
          <w:color w:val="auto"/>
          <w:kern w:val="0"/>
          <w:sz w:val="24"/>
        </w:rPr>
        <w:t>投标人确保档案数据应符合全省法院数据交换标准,实现档案数据于交换数据、审判数据的对接。</w:t>
      </w:r>
    </w:p>
    <w:p>
      <w:pPr>
        <w:snapToGrid w:val="0"/>
        <w:spacing w:line="420" w:lineRule="auto"/>
        <w:ind w:firstLine="480" w:firstLineChars="200"/>
        <w:rPr>
          <w:rFonts w:hint="eastAsia" w:ascii="宋体" w:hAnsi="宋体" w:cs="宋体"/>
          <w:b/>
          <w:bCs/>
          <w:color w:val="auto"/>
          <w:kern w:val="0"/>
          <w:sz w:val="24"/>
        </w:rPr>
      </w:pPr>
      <w:r>
        <w:rPr>
          <w:rFonts w:hint="eastAsia" w:ascii="宋体" w:hAnsi="宋体" w:cs="宋体"/>
          <w:b/>
          <w:bCs/>
          <w:color w:val="auto"/>
          <w:kern w:val="0"/>
          <w:sz w:val="24"/>
          <w:lang w:val="en-US" w:eastAsia="zh-CN"/>
        </w:rPr>
        <w:t>9.</w:t>
      </w:r>
      <w:r>
        <w:rPr>
          <w:rFonts w:hint="eastAsia" w:ascii="宋体" w:hAnsi="宋体" w:cs="宋体"/>
          <w:b/>
          <w:bCs/>
          <w:color w:val="auto"/>
          <w:kern w:val="0"/>
          <w:sz w:val="24"/>
        </w:rPr>
        <w:t>数字化项目场所、人员、工具软件管理要求</w:t>
      </w:r>
    </w:p>
    <w:p>
      <w:pPr>
        <w:snapToGrid w:val="0"/>
        <w:spacing w:line="42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9.1</w:t>
      </w:r>
      <w:r>
        <w:rPr>
          <w:rFonts w:hint="eastAsia" w:ascii="宋体" w:hAnsi="宋体" w:cs="宋体"/>
          <w:color w:val="auto"/>
          <w:kern w:val="0"/>
          <w:sz w:val="24"/>
        </w:rPr>
        <w:t>投标人具有较强的项目管理和项目质量管理能力。在项目实施过程中能派驻高级项目管理人员。</w:t>
      </w:r>
    </w:p>
    <w:p>
      <w:pPr>
        <w:snapToGrid w:val="0"/>
        <w:spacing w:line="42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9.2</w:t>
      </w:r>
      <w:r>
        <w:rPr>
          <w:rFonts w:hint="eastAsia" w:ascii="宋体" w:hAnsi="宋体" w:cs="宋体"/>
          <w:color w:val="auto"/>
          <w:kern w:val="0"/>
          <w:sz w:val="24"/>
        </w:rPr>
        <w:t>投标人制定有效措施确保数字化制作人员不得携带移动通信设备、存储设备、录像照相设备进入现场。具有涉及国家秘密的计算机系统集成资质和安全技术防范服务许可证资质的投标人将优先考虑。</w:t>
      </w:r>
    </w:p>
    <w:p>
      <w:pPr>
        <w:snapToGrid w:val="0"/>
        <w:spacing w:line="42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9.3</w:t>
      </w:r>
      <w:r>
        <w:rPr>
          <w:rFonts w:hint="eastAsia" w:ascii="宋体" w:hAnsi="宋体" w:cs="宋体"/>
          <w:color w:val="auto"/>
          <w:kern w:val="0"/>
          <w:sz w:val="24"/>
        </w:rPr>
        <w:t>投标人通过软件成熟度达标，能提供有自主知识产权数字化加工工具软件用于本次数字化项目实施的优先考虑。</w:t>
      </w:r>
    </w:p>
    <w:p>
      <w:pPr>
        <w:snapToGrid w:val="0"/>
        <w:spacing w:line="420" w:lineRule="auto"/>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9.4</w:t>
      </w:r>
      <w:r>
        <w:rPr>
          <w:rFonts w:hint="eastAsia" w:ascii="宋体" w:hAnsi="宋体" w:cs="宋体"/>
          <w:color w:val="auto"/>
          <w:kern w:val="0"/>
          <w:sz w:val="24"/>
        </w:rPr>
        <w:t>投标人通过职业健康安全管理体系认证和环境管理体系认证达标的优先考虑。</w:t>
      </w:r>
    </w:p>
    <w:p>
      <w:pPr>
        <w:autoSpaceDE w:val="0"/>
        <w:autoSpaceDN w:val="0"/>
        <w:adjustRightInd w:val="0"/>
        <w:snapToGrid w:val="0"/>
        <w:spacing w:line="360" w:lineRule="auto"/>
        <w:outlineLvl w:val="0"/>
        <w:rPr>
          <w:rFonts w:hint="eastAsia" w:ascii="宋体" w:cs="宋体"/>
          <w:b/>
          <w:bCs/>
          <w:color w:val="auto"/>
          <w:sz w:val="24"/>
          <w:lang w:val="zh-CN"/>
        </w:rPr>
      </w:pPr>
      <w:r>
        <w:rPr>
          <w:rFonts w:hint="eastAsia" w:ascii="宋体" w:cs="宋体"/>
          <w:b/>
          <w:bCs/>
          <w:color w:val="auto"/>
          <w:sz w:val="24"/>
          <w:lang w:val="zh-CN"/>
        </w:rPr>
        <w:t>三、其它要求</w:t>
      </w:r>
    </w:p>
    <w:p>
      <w:pPr>
        <w:adjustRightInd w:val="0"/>
        <w:snapToGrid w:val="0"/>
        <w:spacing w:line="420" w:lineRule="auto"/>
        <w:ind w:firstLine="511" w:firstLineChars="213"/>
        <w:jc w:val="left"/>
        <w:rPr>
          <w:rFonts w:hint="eastAsia" w:ascii="宋体" w:hAnsi="宋体" w:cs="宋体"/>
          <w:b/>
          <w:color w:val="auto"/>
          <w:sz w:val="24"/>
        </w:rPr>
      </w:pPr>
      <w:r>
        <w:rPr>
          <w:rFonts w:hint="eastAsia" w:ascii="宋体" w:hAnsi="宋体" w:cs="宋体"/>
          <w:color w:val="auto"/>
          <w:sz w:val="24"/>
        </w:rPr>
        <w:t>1.</w:t>
      </w:r>
      <w:r>
        <w:rPr>
          <w:rFonts w:hint="eastAsia" w:ascii="宋体" w:hAnsi="宋体" w:cs="宋体"/>
          <w:color w:val="auto"/>
          <w:sz w:val="24"/>
          <w:lang w:eastAsia="zh-CN"/>
        </w:rPr>
        <w:t>招标文件</w:t>
      </w:r>
      <w:r>
        <w:rPr>
          <w:rFonts w:hint="eastAsia" w:ascii="宋体" w:hAnsi="宋体" w:cs="宋体"/>
          <w:color w:val="auto"/>
          <w:sz w:val="24"/>
        </w:rPr>
        <w:t>的</w:t>
      </w:r>
      <w:r>
        <w:rPr>
          <w:rFonts w:hint="eastAsia" w:ascii="宋体" w:hAnsi="宋体" w:cs="宋体"/>
          <w:color w:val="auto"/>
          <w:sz w:val="24"/>
          <w:lang w:eastAsia="zh-CN"/>
        </w:rPr>
        <w:t>项目需求</w:t>
      </w:r>
      <w:r>
        <w:rPr>
          <w:rFonts w:hint="eastAsia" w:ascii="宋体" w:hAnsi="宋体" w:cs="宋体"/>
          <w:color w:val="auto"/>
          <w:sz w:val="24"/>
        </w:rPr>
        <w:t>为最低要求，投标产品不得低于最低要求，</w:t>
      </w:r>
      <w:r>
        <w:rPr>
          <w:rFonts w:hint="eastAsia" w:ascii="宋体" w:hAnsi="宋体" w:cs="宋体"/>
          <w:b/>
          <w:bCs/>
          <w:color w:val="auto"/>
          <w:sz w:val="24"/>
        </w:rPr>
        <w:t>否则为无效投标。</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.投标人应就该项目完整投标，</w:t>
      </w:r>
      <w:r>
        <w:rPr>
          <w:rFonts w:hint="eastAsia" w:ascii="宋体" w:hAnsi="宋体" w:cs="宋体"/>
          <w:b/>
          <w:color w:val="auto"/>
          <w:sz w:val="24"/>
        </w:rPr>
        <w:t>否则为无效投标</w:t>
      </w:r>
      <w:r>
        <w:rPr>
          <w:rFonts w:hint="eastAsia" w:ascii="宋体" w:hAnsi="宋体" w:cs="宋体"/>
          <w:color w:val="auto"/>
          <w:sz w:val="24"/>
        </w:rPr>
        <w:t>。</w:t>
      </w:r>
    </w:p>
    <w:p>
      <w:pPr>
        <w:snapToGrid w:val="0"/>
        <w:spacing w:line="420" w:lineRule="auto"/>
        <w:ind w:firstLine="480" w:firstLineChars="200"/>
        <w:rPr>
          <w:rFonts w:hint="eastAsia" w:ascii="宋体" w:hAnsi="宋体" w:cs="宋体"/>
          <w:b/>
          <w:bCs/>
          <w:color w:val="auto"/>
          <w:kern w:val="0"/>
          <w:sz w:val="24"/>
        </w:rPr>
      </w:pPr>
      <w:r>
        <w:rPr>
          <w:rFonts w:hint="eastAsia" w:ascii="宋体" w:hAnsi="宋体" w:cs="宋体"/>
          <w:color w:val="auto"/>
          <w:kern w:val="0"/>
          <w:sz w:val="24"/>
          <w:lang w:val="en-US" w:eastAsia="zh-CN"/>
        </w:rPr>
        <w:t>3.</w:t>
      </w:r>
      <w:r>
        <w:rPr>
          <w:rFonts w:hint="eastAsia" w:ascii="宋体" w:hAnsi="宋体" w:cs="宋体"/>
          <w:color w:val="auto"/>
          <w:kern w:val="0"/>
          <w:sz w:val="24"/>
        </w:rPr>
        <w:t>本项目为“交钥匙工程”，投标人必须承诺扫描数据全部通过河南省法院档案管理系统质检和档案数据备份系统故障数据恢复承诺函，</w:t>
      </w:r>
      <w:r>
        <w:rPr>
          <w:rFonts w:hint="eastAsia" w:ascii="宋体" w:hAnsi="宋体" w:cs="宋体"/>
          <w:b/>
          <w:bCs/>
          <w:color w:val="auto"/>
          <w:kern w:val="0"/>
          <w:sz w:val="24"/>
        </w:rPr>
        <w:t>否则为无效投标。</w:t>
      </w:r>
    </w:p>
    <w:p>
      <w:pPr>
        <w:snapToGrid w:val="0"/>
        <w:spacing w:line="420" w:lineRule="auto"/>
        <w:ind w:firstLine="480" w:firstLineChars="200"/>
        <w:rPr>
          <w:rFonts w:hint="eastAsia" w:ascii="宋体" w:hAnsi="宋体" w:cs="宋体"/>
          <w:b/>
          <w:bCs/>
          <w:color w:val="000000"/>
          <w:kern w:val="0"/>
          <w:sz w:val="24"/>
        </w:rPr>
      </w:pPr>
      <w:r>
        <w:rPr>
          <w:rFonts w:hint="eastAsia" w:ascii="宋体" w:hAnsi="宋体" w:cs="宋体"/>
          <w:color w:val="000000"/>
          <w:kern w:val="0"/>
          <w:sz w:val="24"/>
          <w:lang w:val="en-US" w:eastAsia="zh-CN"/>
        </w:rPr>
        <w:t>4.</w:t>
      </w:r>
      <w:r>
        <w:rPr>
          <w:rFonts w:hint="eastAsia" w:ascii="宋体" w:hAnsi="宋体" w:cs="宋体"/>
          <w:color w:val="000000"/>
          <w:kern w:val="0"/>
          <w:sz w:val="24"/>
        </w:rPr>
        <w:t>投标</w:t>
      </w:r>
      <w:r>
        <w:rPr>
          <w:rFonts w:hint="eastAsia" w:ascii="宋体" w:hAnsi="宋体" w:cs="宋体"/>
          <w:color w:val="000000"/>
          <w:kern w:val="0"/>
          <w:sz w:val="24"/>
          <w:lang w:eastAsia="zh-CN"/>
        </w:rPr>
        <w:t>人须</w:t>
      </w:r>
      <w:r>
        <w:rPr>
          <w:rFonts w:hint="eastAsia" w:ascii="宋体" w:hAnsi="宋体" w:cs="宋体"/>
          <w:color w:val="000000"/>
          <w:kern w:val="0"/>
          <w:sz w:val="24"/>
        </w:rPr>
        <w:t>提供原存储服务器厂商针对本项目的</w:t>
      </w:r>
      <w:r>
        <w:rPr>
          <w:rFonts w:hint="eastAsia" w:ascii="宋体" w:hAnsi="宋体" w:cs="宋体"/>
          <w:color w:val="000000"/>
          <w:kern w:val="0"/>
          <w:sz w:val="24"/>
          <w:lang w:eastAsia="zh-CN"/>
        </w:rPr>
        <w:t>磁盘扩容及数据备份的技术服务承诺函</w:t>
      </w:r>
      <w:r>
        <w:rPr>
          <w:rFonts w:hint="eastAsia" w:ascii="宋体" w:hAnsi="宋体" w:cs="宋体"/>
          <w:color w:val="000000"/>
          <w:kern w:val="0"/>
          <w:sz w:val="24"/>
        </w:rPr>
        <w:t>和售后服务承诺函，</w:t>
      </w:r>
      <w:r>
        <w:rPr>
          <w:rFonts w:hint="eastAsia" w:ascii="宋体" w:hAnsi="宋体" w:cs="宋体"/>
          <w:b/>
          <w:bCs/>
          <w:color w:val="000000"/>
          <w:kern w:val="0"/>
          <w:sz w:val="24"/>
        </w:rPr>
        <w:t>否则为无效投标。</w:t>
      </w:r>
    </w:p>
    <w:p>
      <w:pPr>
        <w:snapToGrid w:val="0"/>
        <w:spacing w:line="420" w:lineRule="auto"/>
        <w:ind w:firstLine="480" w:firstLineChars="200"/>
        <w:rPr>
          <w:rFonts w:hint="eastAsia" w:ascii="宋体" w:hAnsi="宋体" w:cs="宋体" w:eastAsiaTheme="minorEastAsia"/>
          <w:b/>
          <w:bCs/>
          <w:kern w:val="0"/>
          <w:sz w:val="24"/>
          <w:lang w:val="en-US" w:eastAsia="zh-CN"/>
        </w:rPr>
      </w:pPr>
      <w:r>
        <w:rPr>
          <w:rFonts w:hint="eastAsia" w:ascii="宋体" w:hAnsi="宋体" w:cs="宋体"/>
          <w:kern w:val="0"/>
          <w:sz w:val="24"/>
          <w:lang w:val="en-US" w:eastAsia="zh-CN"/>
        </w:rPr>
        <w:t>5.</w:t>
      </w:r>
      <w:r>
        <w:rPr>
          <w:rFonts w:hint="eastAsia" w:ascii="宋体" w:hAnsi="宋体" w:cs="宋体"/>
          <w:kern w:val="0"/>
          <w:sz w:val="24"/>
        </w:rPr>
        <w:t>投标商须承诺扫描数据全部著录挂接到河南法院档案管理系统,并通过用户质检和河南法院档案管理系统质检</w:t>
      </w:r>
      <w:r>
        <w:rPr>
          <w:rFonts w:hint="eastAsia" w:ascii="宋体" w:hAnsi="宋体" w:cs="宋体"/>
          <w:b w:val="0"/>
          <w:bCs w:val="0"/>
          <w:kern w:val="0"/>
          <w:sz w:val="24"/>
        </w:rPr>
        <w:t>，</w:t>
      </w:r>
      <w:r>
        <w:rPr>
          <w:rFonts w:hint="eastAsia" w:ascii="宋体" w:hAnsi="宋体" w:cs="宋体"/>
          <w:b/>
          <w:bCs/>
          <w:kern w:val="0"/>
          <w:sz w:val="24"/>
        </w:rPr>
        <w:t>否则为无效投标。</w:t>
      </w:r>
    </w:p>
    <w:p>
      <w:pPr>
        <w:numPr>
          <w:ilvl w:val="0"/>
          <w:numId w:val="0"/>
        </w:numPr>
        <w:snapToGrid w:val="0"/>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6.</w:t>
      </w:r>
      <w:r>
        <w:rPr>
          <w:rFonts w:hint="eastAsia" w:ascii="宋体" w:hAnsi="宋体" w:cs="宋体"/>
          <w:kern w:val="0"/>
          <w:sz w:val="24"/>
        </w:rPr>
        <w:t>本项目为“交钥匙工程”。</w:t>
      </w:r>
    </w:p>
    <w:p>
      <w:pPr>
        <w:numPr>
          <w:ilvl w:val="0"/>
          <w:numId w:val="0"/>
        </w:numPr>
        <w:snapToGrid w:val="0"/>
        <w:spacing w:line="360" w:lineRule="auto"/>
        <w:ind w:firstLine="480" w:firstLineChars="200"/>
        <w:rPr>
          <w:rFonts w:hint="eastAsia" w:ascii="宋体" w:hAnsi="宋体"/>
          <w:color w:val="auto"/>
          <w:sz w:val="24"/>
          <w:lang w:val="en-US" w:eastAsia="zh-CN"/>
        </w:rPr>
      </w:pPr>
      <w:r>
        <w:rPr>
          <w:rFonts w:hint="eastAsia" w:ascii="宋体" w:hAnsi="宋体"/>
          <w:color w:val="auto"/>
          <w:sz w:val="24"/>
          <w:highlight w:val="none"/>
          <w:lang w:val="en-US" w:eastAsia="zh-CN"/>
        </w:rPr>
        <w:t>7.如果与</w:t>
      </w:r>
      <w:r>
        <w:rPr>
          <w:rFonts w:hint="eastAsia" w:ascii="宋体" w:hAnsi="宋体"/>
          <w:color w:val="auto"/>
          <w:sz w:val="24"/>
          <w:highlight w:val="none"/>
        </w:rPr>
        <w:t>服务承诺有违约之处，造成的一切经济损失由</w:t>
      </w:r>
      <w:r>
        <w:rPr>
          <w:rFonts w:hint="eastAsia" w:ascii="宋体" w:hAnsi="宋体"/>
          <w:color w:val="auto"/>
          <w:sz w:val="24"/>
          <w:highlight w:val="none"/>
          <w:lang w:eastAsia="zh-CN"/>
        </w:rPr>
        <w:t>投标人</w:t>
      </w:r>
      <w:r>
        <w:rPr>
          <w:rFonts w:hint="eastAsia" w:ascii="宋体" w:hAnsi="宋体"/>
          <w:color w:val="auto"/>
          <w:sz w:val="24"/>
          <w:highlight w:val="none"/>
        </w:rPr>
        <w:t>负责。</w:t>
      </w:r>
    </w:p>
    <w:p>
      <w:pPr>
        <w:numPr>
          <w:ilvl w:val="0"/>
          <w:numId w:val="0"/>
        </w:numPr>
        <w:snapToGrid w:val="0"/>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8.</w:t>
      </w:r>
      <w:r>
        <w:rPr>
          <w:rFonts w:hint="eastAsia" w:ascii="宋体" w:hAnsi="宋体"/>
          <w:color w:val="auto"/>
          <w:sz w:val="24"/>
          <w:highlight w:val="none"/>
          <w:lang w:eastAsia="zh-CN"/>
        </w:rPr>
        <w:t>付款办法：</w:t>
      </w:r>
      <w:r>
        <w:rPr>
          <w:rFonts w:hint="eastAsia" w:ascii="宋体" w:hAnsi="宋体"/>
          <w:color w:val="auto"/>
          <w:sz w:val="24"/>
          <w:highlight w:val="none"/>
        </w:rPr>
        <w:t>供货完毕具备验收条件后，由采购</w:t>
      </w:r>
      <w:r>
        <w:rPr>
          <w:rFonts w:hint="eastAsia" w:ascii="宋体" w:hAnsi="宋体"/>
          <w:color w:val="auto"/>
          <w:sz w:val="24"/>
          <w:highlight w:val="none"/>
          <w:lang w:eastAsia="zh-CN"/>
        </w:rPr>
        <w:t>单位</w:t>
      </w:r>
      <w:r>
        <w:rPr>
          <w:rFonts w:hint="eastAsia" w:ascii="宋体" w:hAnsi="宋体"/>
          <w:color w:val="auto"/>
          <w:sz w:val="24"/>
          <w:highlight w:val="none"/>
        </w:rPr>
        <w:t>组织验收</w:t>
      </w:r>
      <w:r>
        <w:rPr>
          <w:rFonts w:hint="eastAsia" w:ascii="宋体" w:hAnsi="宋体"/>
          <w:color w:val="auto"/>
          <w:sz w:val="24"/>
          <w:highlight w:val="none"/>
          <w:lang w:eastAsia="zh-CN"/>
        </w:rPr>
        <w:t>，</w:t>
      </w:r>
      <w:r>
        <w:rPr>
          <w:rFonts w:hint="eastAsia" w:ascii="宋体" w:hAnsi="宋体"/>
          <w:color w:val="auto"/>
          <w:sz w:val="24"/>
          <w:highlight w:val="none"/>
        </w:rPr>
        <w:t>验收后填写验收报告。采购单位</w:t>
      </w:r>
      <w:r>
        <w:rPr>
          <w:rFonts w:hint="eastAsia" w:ascii="宋体" w:hAnsi="宋体"/>
          <w:color w:val="auto"/>
          <w:sz w:val="24"/>
          <w:highlight w:val="none"/>
          <w:lang w:eastAsia="zh-CN"/>
        </w:rPr>
        <w:t>和成交供应商</w:t>
      </w:r>
      <w:r>
        <w:rPr>
          <w:rFonts w:hint="eastAsia" w:ascii="宋体" w:hAnsi="宋体"/>
          <w:color w:val="auto"/>
          <w:sz w:val="24"/>
          <w:highlight w:val="none"/>
        </w:rPr>
        <w:t>持合格的验收报告和政府采购合同，到魏都区政府采购管理办公室按</w:t>
      </w:r>
      <w:r>
        <w:rPr>
          <w:rFonts w:hint="eastAsia" w:ascii="宋体" w:hAnsi="宋体"/>
          <w:color w:val="auto"/>
          <w:sz w:val="24"/>
          <w:highlight w:val="none"/>
          <w:lang w:eastAsia="zh-CN"/>
        </w:rPr>
        <w:t>招标</w:t>
      </w:r>
      <w:r>
        <w:rPr>
          <w:rFonts w:hint="eastAsia" w:ascii="宋体" w:hAnsi="宋体"/>
          <w:color w:val="auto"/>
          <w:sz w:val="24"/>
          <w:highlight w:val="none"/>
        </w:rPr>
        <w:t>文件约定付款。</w:t>
      </w:r>
    </w:p>
    <w:p>
      <w:pPr>
        <w:snapToGrid w:val="0"/>
        <w:spacing w:line="42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9.</w:t>
      </w:r>
      <w:r>
        <w:rPr>
          <w:rFonts w:hint="eastAsia" w:ascii="宋体" w:hAnsi="宋体"/>
          <w:color w:val="auto"/>
          <w:sz w:val="24"/>
          <w:highlight w:val="none"/>
        </w:rPr>
        <w:t>付款方式</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经验收合格后付合同总价款的90%，剩余10%满半年无质量问题一次付清，</w:t>
      </w:r>
      <w:r>
        <w:rPr>
          <w:rFonts w:hint="eastAsia" w:ascii="宋体" w:hAnsi="宋体"/>
          <w:color w:val="auto"/>
          <w:sz w:val="24"/>
        </w:rPr>
        <w:t>投标文件没有注明付款方式的视为默认该付款方式，</w:t>
      </w:r>
      <w:r>
        <w:rPr>
          <w:rFonts w:hint="eastAsia" w:ascii="宋体" w:hAnsi="宋体"/>
          <w:b/>
          <w:color w:val="auto"/>
          <w:sz w:val="24"/>
        </w:rPr>
        <w:t>不响应</w:t>
      </w:r>
      <w:r>
        <w:rPr>
          <w:rFonts w:hint="eastAsia" w:ascii="宋体" w:hAnsi="宋体"/>
          <w:b/>
          <w:bCs/>
          <w:color w:val="auto"/>
          <w:sz w:val="24"/>
        </w:rPr>
        <w:t>者</w:t>
      </w:r>
      <w:r>
        <w:rPr>
          <w:rFonts w:hint="eastAsia" w:ascii="宋体" w:hAnsi="宋体"/>
          <w:b/>
          <w:color w:val="auto"/>
          <w:sz w:val="24"/>
        </w:rPr>
        <w:t>为无效投标</w:t>
      </w:r>
      <w:r>
        <w:rPr>
          <w:rFonts w:hint="eastAsia" w:ascii="宋体" w:hAnsi="宋体"/>
          <w:color w:val="auto"/>
          <w:sz w:val="24"/>
        </w:rPr>
        <w:t>。</w:t>
      </w:r>
    </w:p>
    <w:p>
      <w:pPr>
        <w:spacing w:line="360" w:lineRule="auto"/>
        <w:ind w:firstLine="480"/>
        <w:jc w:val="both"/>
        <w:rPr>
          <w:rFonts w:hint="eastAsia" w:ascii="宋体" w:hAnsi="宋体"/>
          <w:b/>
          <w:bCs/>
          <w:color w:val="auto"/>
          <w:sz w:val="24"/>
          <w:highlight w:val="none"/>
          <w:lang w:eastAsia="zh-CN"/>
        </w:rPr>
      </w:pPr>
      <w:r>
        <w:rPr>
          <w:rFonts w:hint="eastAsia" w:ascii="宋体" w:hAnsi="宋体"/>
          <w:color w:val="auto"/>
          <w:sz w:val="24"/>
          <w:highlight w:val="none"/>
          <w:lang w:val="en-US" w:eastAsia="zh-CN"/>
        </w:rPr>
        <w:t>10.</w:t>
      </w:r>
      <w:r>
        <w:rPr>
          <w:rFonts w:hint="eastAsia" w:ascii="宋体" w:hAnsi="宋体"/>
          <w:color w:val="auto"/>
          <w:sz w:val="24"/>
          <w:highlight w:val="none"/>
          <w:lang w:eastAsia="zh-CN"/>
        </w:rPr>
        <w:t>采购预算：</w:t>
      </w:r>
      <w:r>
        <w:rPr>
          <w:rFonts w:hint="eastAsia" w:ascii="宋体" w:hAnsi="宋体"/>
          <w:b w:val="0"/>
          <w:bCs w:val="0"/>
          <w:color w:val="auto"/>
          <w:sz w:val="24"/>
          <w:highlight w:val="none"/>
          <w:lang w:val="en-US" w:eastAsia="zh-CN"/>
        </w:rPr>
        <w:t>人民币275万元，</w:t>
      </w:r>
      <w:r>
        <w:rPr>
          <w:rFonts w:hint="eastAsia" w:ascii="宋体" w:hAnsi="宋体"/>
          <w:b/>
          <w:bCs/>
          <w:color w:val="auto"/>
          <w:sz w:val="24"/>
          <w:highlight w:val="none"/>
        </w:rPr>
        <w:t>超出者为无效</w:t>
      </w:r>
      <w:r>
        <w:rPr>
          <w:rFonts w:hint="eastAsia" w:ascii="宋体" w:hAnsi="宋体"/>
          <w:b/>
          <w:bCs/>
          <w:color w:val="auto"/>
          <w:sz w:val="24"/>
          <w:highlight w:val="none"/>
          <w:lang w:eastAsia="zh-CN"/>
        </w:rPr>
        <w:t>投标。</w:t>
      </w:r>
    </w:p>
    <w:p>
      <w:pPr>
        <w:spacing w:line="360" w:lineRule="auto"/>
        <w:rPr>
          <w:rFonts w:hint="eastAsia" w:ascii="宋体" w:hAnsi="宋体"/>
          <w:b/>
          <w:bCs/>
          <w:color w:val="auto"/>
          <w:sz w:val="24"/>
        </w:rPr>
      </w:pPr>
      <w:r>
        <w:rPr>
          <w:rFonts w:hint="eastAsia" w:ascii="宋体" w:hAnsi="宋体"/>
          <w:b/>
          <w:bCs/>
          <w:color w:val="auto"/>
          <w:sz w:val="24"/>
          <w:lang w:eastAsia="zh-CN"/>
        </w:rPr>
        <w:t>四、</w:t>
      </w:r>
      <w:r>
        <w:rPr>
          <w:rFonts w:hint="eastAsia" w:ascii="宋体" w:hAnsi="宋体"/>
          <w:b/>
          <w:bCs/>
          <w:color w:val="auto"/>
          <w:sz w:val="24"/>
        </w:rPr>
        <w:t>评分标准</w:t>
      </w:r>
    </w:p>
    <w:p>
      <w:pPr>
        <w:spacing w:line="360" w:lineRule="auto"/>
        <w:ind w:firstLine="480" w:firstLineChars="200"/>
        <w:rPr>
          <w:rFonts w:hint="eastAsia" w:ascii="宋体" w:hAnsi="宋体"/>
          <w:b/>
          <w:bCs w:val="0"/>
          <w:color w:val="auto"/>
          <w:sz w:val="24"/>
        </w:rPr>
      </w:pPr>
      <w:r>
        <w:rPr>
          <w:rFonts w:hint="eastAsia" w:ascii="宋体" w:hAnsi="宋体"/>
          <w:b/>
          <w:bCs w:val="0"/>
          <w:color w:val="auto"/>
          <w:sz w:val="24"/>
        </w:rPr>
        <w:t>本评分办法中的各种有效证明材料，投标人必须在投标文件中提供完整的复印件，且在评标时同时提供与复印件一致的原件，否则不得分。</w:t>
      </w:r>
    </w:p>
    <w:p>
      <w:pPr>
        <w:spacing w:line="360" w:lineRule="auto"/>
        <w:ind w:firstLine="480" w:firstLineChars="200"/>
        <w:rPr>
          <w:rFonts w:hint="eastAsia" w:ascii="宋体" w:hAnsi="宋体"/>
          <w:b/>
          <w:bCs w:val="0"/>
          <w:color w:val="auto"/>
          <w:sz w:val="24"/>
          <w:u w:val="single"/>
        </w:rPr>
      </w:pPr>
      <w:r>
        <w:rPr>
          <w:rFonts w:hint="eastAsia" w:ascii="宋体" w:hAnsi="宋体"/>
          <w:b/>
          <w:bCs w:val="0"/>
          <w:color w:val="auto"/>
          <w:sz w:val="24"/>
        </w:rPr>
        <w:t>本次招标项目采用综合评分法，满分100分。</w:t>
      </w:r>
    </w:p>
    <w:p>
      <w:pPr>
        <w:spacing w:line="360" w:lineRule="auto"/>
        <w:rPr>
          <w:rFonts w:hint="eastAsia" w:ascii="宋体" w:hAnsi="宋体"/>
          <w:b/>
          <w:color w:val="auto"/>
          <w:sz w:val="24"/>
          <w:lang w:val="en-US" w:eastAsia="zh-CN"/>
        </w:rPr>
      </w:pPr>
      <w:r>
        <w:rPr>
          <w:rFonts w:hint="eastAsia" w:ascii="宋体" w:hAnsi="宋体"/>
          <w:b/>
          <w:color w:val="auto"/>
          <w:sz w:val="24"/>
          <w:lang w:val="en-US" w:eastAsia="zh-CN"/>
        </w:rPr>
        <w:t xml:space="preserve">    财务状况5分</w:t>
      </w:r>
    </w:p>
    <w:p>
      <w:pPr>
        <w:spacing w:line="360" w:lineRule="auto"/>
        <w:ind w:firstLine="480" w:firstLineChars="200"/>
        <w:rPr>
          <w:rFonts w:hint="eastAsia" w:ascii="宋体" w:hAnsi="宋体"/>
          <w:b/>
          <w:color w:val="auto"/>
          <w:sz w:val="24"/>
        </w:rPr>
      </w:pPr>
      <w:r>
        <w:rPr>
          <w:rFonts w:hint="eastAsia" w:ascii="宋体" w:hAnsi="宋体"/>
          <w:sz w:val="24"/>
        </w:rPr>
        <w:t>投标人通过中介机构审计的201</w:t>
      </w:r>
      <w:r>
        <w:rPr>
          <w:rFonts w:hint="eastAsia" w:ascii="宋体" w:hAnsi="宋体"/>
          <w:sz w:val="24"/>
          <w:lang w:val="en-US" w:eastAsia="zh-CN"/>
        </w:rPr>
        <w:t>6</w:t>
      </w:r>
      <w:r>
        <w:rPr>
          <w:rFonts w:hint="eastAsia" w:ascii="宋体" w:hAnsi="宋体"/>
          <w:sz w:val="24"/>
        </w:rPr>
        <w:t>年度财务报告，且要素齐全、真实完整，根据其注册资本（实收资本）、资产总额、资产负债率、主营业务收入、利润总额等情况综合评定</w:t>
      </w:r>
      <w:r>
        <w:rPr>
          <w:rFonts w:hint="eastAsia" w:ascii="宋体" w:hAnsi="宋体"/>
          <w:sz w:val="24"/>
          <w:lang w:eastAsia="zh-CN"/>
        </w:rPr>
        <w:t>，</w:t>
      </w:r>
      <w:r>
        <w:rPr>
          <w:rFonts w:hint="eastAsia" w:ascii="宋体" w:hAnsi="宋体"/>
          <w:color w:val="auto"/>
          <w:sz w:val="24"/>
        </w:rPr>
        <w:t>好：</w:t>
      </w:r>
      <w:r>
        <w:rPr>
          <w:rFonts w:hint="eastAsia" w:ascii="宋体" w:hAnsi="宋体"/>
          <w:color w:val="auto"/>
          <w:sz w:val="24"/>
          <w:lang w:val="en-US" w:eastAsia="zh-CN"/>
        </w:rPr>
        <w:t>5</w:t>
      </w:r>
      <w:r>
        <w:rPr>
          <w:rFonts w:hint="eastAsia" w:ascii="宋体" w:hAnsi="宋体"/>
          <w:color w:val="auto"/>
          <w:sz w:val="24"/>
        </w:rPr>
        <w:t>分，较好：</w:t>
      </w:r>
      <w:r>
        <w:rPr>
          <w:rFonts w:hint="eastAsia" w:ascii="宋体" w:hAnsi="宋体"/>
          <w:color w:val="auto"/>
          <w:sz w:val="24"/>
          <w:lang w:val="en-US" w:eastAsia="zh-CN"/>
        </w:rPr>
        <w:t>3</w:t>
      </w:r>
      <w:r>
        <w:rPr>
          <w:rFonts w:hint="eastAsia" w:ascii="宋体" w:hAnsi="宋体"/>
          <w:color w:val="auto"/>
          <w:sz w:val="24"/>
        </w:rPr>
        <w:t>分，一般：</w:t>
      </w:r>
      <w:r>
        <w:rPr>
          <w:rFonts w:hint="eastAsia" w:ascii="宋体" w:hAnsi="宋体"/>
          <w:color w:val="auto"/>
          <w:sz w:val="24"/>
          <w:lang w:val="en-US" w:eastAsia="zh-CN"/>
        </w:rPr>
        <w:t>1</w:t>
      </w:r>
      <w:r>
        <w:rPr>
          <w:rFonts w:hint="eastAsia" w:ascii="宋体" w:hAnsi="宋体"/>
          <w:color w:val="auto"/>
          <w:sz w:val="24"/>
        </w:rPr>
        <w:t>分</w:t>
      </w:r>
      <w:r>
        <w:rPr>
          <w:rFonts w:hint="eastAsia" w:ascii="宋体" w:hAnsi="宋体"/>
          <w:color w:val="auto"/>
          <w:sz w:val="24"/>
          <w:lang w:eastAsia="zh-CN"/>
        </w:rPr>
        <w:t>，</w:t>
      </w:r>
      <w:r>
        <w:rPr>
          <w:rFonts w:hint="eastAsia" w:ascii="宋体" w:hAnsi="宋体"/>
          <w:color w:val="auto"/>
          <w:sz w:val="24"/>
        </w:rPr>
        <w:t>满分</w:t>
      </w:r>
      <w:r>
        <w:rPr>
          <w:rFonts w:hint="eastAsia" w:ascii="宋体" w:hAnsi="宋体"/>
          <w:color w:val="auto"/>
          <w:sz w:val="24"/>
          <w:lang w:val="en-US" w:eastAsia="zh-CN"/>
        </w:rPr>
        <w:t>5</w:t>
      </w:r>
      <w:r>
        <w:rPr>
          <w:rFonts w:hint="eastAsia" w:ascii="宋体" w:hAnsi="宋体"/>
          <w:color w:val="auto"/>
          <w:sz w:val="24"/>
        </w:rPr>
        <w:t>分</w:t>
      </w:r>
      <w:r>
        <w:rPr>
          <w:rFonts w:hint="eastAsia" w:ascii="宋体" w:hAnsi="宋体"/>
          <w:sz w:val="24"/>
          <w:lang w:eastAsia="zh-CN"/>
        </w:rPr>
        <w:t>。</w:t>
      </w:r>
    </w:p>
    <w:p>
      <w:pPr>
        <w:spacing w:line="360" w:lineRule="auto"/>
        <w:ind w:firstLine="480" w:firstLineChars="200"/>
        <w:rPr>
          <w:rFonts w:hint="eastAsia" w:ascii="宋体" w:hAnsi="宋体"/>
          <w:b/>
          <w:color w:val="auto"/>
          <w:sz w:val="24"/>
        </w:rPr>
      </w:pPr>
      <w:r>
        <w:rPr>
          <w:rFonts w:hint="eastAsia" w:ascii="宋体" w:hAnsi="宋体"/>
          <w:b/>
          <w:color w:val="auto"/>
          <w:sz w:val="24"/>
        </w:rPr>
        <w:t>信誉</w:t>
      </w:r>
      <w:r>
        <w:rPr>
          <w:rFonts w:hint="eastAsia" w:ascii="宋体" w:hAnsi="宋体"/>
          <w:b/>
          <w:color w:val="auto"/>
          <w:sz w:val="24"/>
          <w:lang w:val="en-US" w:eastAsia="zh-CN"/>
        </w:rPr>
        <w:t>12</w:t>
      </w:r>
      <w:r>
        <w:rPr>
          <w:rFonts w:hint="eastAsia" w:ascii="宋体" w:hAnsi="宋体"/>
          <w:b/>
          <w:color w:val="auto"/>
          <w:sz w:val="24"/>
        </w:rPr>
        <w:t>分</w:t>
      </w:r>
    </w:p>
    <w:p>
      <w:pPr>
        <w:snapToGrid w:val="0"/>
        <w:spacing w:line="420" w:lineRule="auto"/>
        <w:ind w:firstLine="480" w:firstLineChars="200"/>
        <w:rPr>
          <w:rFonts w:hint="eastAsia" w:ascii="宋体" w:hAnsi="宋体" w:cs="宋体"/>
          <w:color w:val="auto"/>
          <w:kern w:val="0"/>
          <w:sz w:val="24"/>
        </w:rPr>
      </w:pPr>
      <w:r>
        <w:rPr>
          <w:rFonts w:hint="eastAsia" w:ascii="宋体" w:hAnsi="宋体"/>
          <w:b w:val="0"/>
          <w:bCs/>
          <w:color w:val="auto"/>
          <w:sz w:val="24"/>
          <w:lang w:val="en-US" w:eastAsia="zh-CN"/>
        </w:rPr>
        <w:t>投标人</w:t>
      </w:r>
      <w:r>
        <w:rPr>
          <w:rFonts w:hint="eastAsia" w:ascii="宋体" w:hAnsi="宋体" w:cs="宋体"/>
          <w:color w:val="auto"/>
          <w:kern w:val="0"/>
          <w:sz w:val="24"/>
        </w:rPr>
        <w:t>具有涉及国家秘密的计算机系统集成资质和安全技术防范服务许可证资质</w:t>
      </w:r>
      <w:r>
        <w:rPr>
          <w:rFonts w:hint="eastAsia" w:ascii="宋体" w:hAnsi="宋体" w:cs="宋体"/>
          <w:color w:val="auto"/>
          <w:kern w:val="0"/>
          <w:sz w:val="24"/>
          <w:lang w:eastAsia="zh-CN"/>
        </w:rPr>
        <w:t>，每项得</w:t>
      </w:r>
      <w:r>
        <w:rPr>
          <w:rFonts w:hint="eastAsia" w:ascii="宋体" w:hAnsi="宋体" w:cs="宋体"/>
          <w:color w:val="auto"/>
          <w:kern w:val="0"/>
          <w:sz w:val="24"/>
          <w:lang w:val="en-US" w:eastAsia="zh-CN"/>
        </w:rPr>
        <w:t>2分，满分4分</w:t>
      </w:r>
      <w:r>
        <w:rPr>
          <w:rFonts w:hint="eastAsia" w:ascii="宋体" w:hAnsi="宋体" w:cs="宋体"/>
          <w:color w:val="auto"/>
          <w:kern w:val="0"/>
          <w:sz w:val="24"/>
        </w:rPr>
        <w:t>。</w:t>
      </w:r>
    </w:p>
    <w:p>
      <w:pPr>
        <w:snapToGrid w:val="0"/>
        <w:spacing w:line="420" w:lineRule="auto"/>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rPr>
        <w:t>投标人</w:t>
      </w:r>
      <w:r>
        <w:rPr>
          <w:rFonts w:hint="eastAsia" w:ascii="宋体" w:hAnsi="宋体" w:cs="宋体"/>
          <w:color w:val="auto"/>
          <w:kern w:val="0"/>
          <w:sz w:val="24"/>
          <w:lang w:eastAsia="zh-CN"/>
        </w:rPr>
        <w:t>具有</w:t>
      </w:r>
      <w:r>
        <w:rPr>
          <w:rFonts w:hint="eastAsia" w:ascii="宋体" w:hAnsi="宋体" w:cs="宋体"/>
          <w:color w:val="auto"/>
          <w:kern w:val="0"/>
          <w:sz w:val="24"/>
        </w:rPr>
        <w:t>ISO质量管理体系认证</w:t>
      </w:r>
      <w:r>
        <w:rPr>
          <w:rFonts w:hint="eastAsia" w:ascii="宋体" w:hAnsi="宋体" w:cs="宋体"/>
          <w:color w:val="auto"/>
          <w:kern w:val="0"/>
          <w:sz w:val="24"/>
          <w:lang w:eastAsia="zh-CN"/>
        </w:rPr>
        <w:t>、</w:t>
      </w:r>
      <w:r>
        <w:rPr>
          <w:rFonts w:hint="eastAsia" w:ascii="宋体" w:hAnsi="宋体" w:cs="宋体"/>
          <w:color w:val="auto"/>
          <w:kern w:val="0"/>
          <w:sz w:val="24"/>
        </w:rPr>
        <w:t>职业健康安全管理体系认证</w:t>
      </w:r>
      <w:r>
        <w:rPr>
          <w:rFonts w:hint="eastAsia" w:ascii="宋体" w:hAnsi="宋体" w:cs="宋体"/>
          <w:color w:val="auto"/>
          <w:kern w:val="0"/>
          <w:sz w:val="24"/>
          <w:lang w:eastAsia="zh-CN"/>
        </w:rPr>
        <w:t>、</w:t>
      </w:r>
      <w:r>
        <w:rPr>
          <w:rFonts w:hint="eastAsia" w:ascii="宋体" w:hAnsi="宋体" w:cs="宋体"/>
          <w:color w:val="auto"/>
          <w:kern w:val="0"/>
          <w:sz w:val="24"/>
        </w:rPr>
        <w:t>环境管理体系认证</w:t>
      </w:r>
      <w:r>
        <w:rPr>
          <w:rFonts w:hint="eastAsia" w:ascii="宋体" w:hAnsi="宋体" w:cs="宋体"/>
          <w:color w:val="auto"/>
          <w:kern w:val="0"/>
          <w:sz w:val="24"/>
          <w:lang w:eastAsia="zh-CN"/>
        </w:rPr>
        <w:t>，每项得</w:t>
      </w:r>
      <w:r>
        <w:rPr>
          <w:rFonts w:hint="eastAsia" w:ascii="宋体" w:hAnsi="宋体" w:cs="宋体"/>
          <w:color w:val="auto"/>
          <w:kern w:val="0"/>
          <w:sz w:val="24"/>
          <w:lang w:val="en-US" w:eastAsia="zh-CN"/>
        </w:rPr>
        <w:t>2分，满分6分</w:t>
      </w:r>
      <w:r>
        <w:rPr>
          <w:rFonts w:hint="eastAsia" w:ascii="宋体" w:hAnsi="宋体" w:cs="宋体"/>
          <w:color w:val="auto"/>
          <w:kern w:val="0"/>
          <w:sz w:val="24"/>
        </w:rPr>
        <w:t>。</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80" w:firstLineChars="200"/>
        <w:jc w:val="both"/>
        <w:textAlignment w:val="auto"/>
        <w:outlineLvl w:val="9"/>
        <w:rPr>
          <w:rFonts w:hint="eastAsia" w:ascii="宋体" w:hAnsi="宋体"/>
          <w:color w:val="auto"/>
          <w:sz w:val="24"/>
        </w:rPr>
      </w:pPr>
      <w:r>
        <w:rPr>
          <w:rFonts w:hint="eastAsia" w:ascii="宋体" w:hAnsi="宋体"/>
          <w:color w:val="auto"/>
          <w:sz w:val="24"/>
        </w:rPr>
        <w:t>投标人须提供工商企业信用信息公示报告【国家企业信用信息公示系统</w:t>
      </w:r>
      <w:r>
        <w:rPr>
          <w:rFonts w:hint="eastAsia" w:ascii="宋体" w:hAnsi="宋体"/>
          <w:color w:val="auto"/>
          <w:sz w:val="24"/>
          <w:lang w:val="en-US"/>
        </w:rPr>
        <w:t>http//www.gsxt.gov.cn</w:t>
      </w:r>
      <w:r>
        <w:rPr>
          <w:rFonts w:hint="eastAsia" w:ascii="宋体" w:hAnsi="宋体"/>
          <w:color w:val="auto"/>
          <w:sz w:val="24"/>
        </w:rPr>
        <w:t>包括基础信息、行政许可信息、行政处罚信息、列入经营异常名录信息、列入严重违法失信企业名单（黑名单）信息】（加盖投标人公章）；企业所在地税务主管部门出具的纳税情况证明等信用情况（加盖企业所在地税务主管部门公章），无不良信息者每项</w:t>
      </w:r>
      <w:r>
        <w:rPr>
          <w:rFonts w:hint="eastAsia" w:ascii="宋体" w:hAnsi="宋体"/>
          <w:color w:val="auto"/>
          <w:sz w:val="24"/>
          <w:lang w:val="en-US"/>
        </w:rPr>
        <w:t>1</w:t>
      </w:r>
      <w:r>
        <w:rPr>
          <w:rFonts w:hint="eastAsia" w:ascii="宋体" w:hAnsi="宋体"/>
          <w:color w:val="auto"/>
          <w:sz w:val="24"/>
        </w:rPr>
        <w:t>分，满分</w:t>
      </w:r>
      <w:r>
        <w:rPr>
          <w:rFonts w:hint="eastAsia" w:ascii="宋体" w:hAnsi="宋体"/>
          <w:color w:val="auto"/>
          <w:sz w:val="24"/>
          <w:lang w:val="en-US"/>
        </w:rPr>
        <w:t>2</w:t>
      </w:r>
      <w:r>
        <w:rPr>
          <w:rFonts w:hint="eastAsia" w:ascii="宋体" w:hAnsi="宋体"/>
          <w:color w:val="auto"/>
          <w:sz w:val="24"/>
        </w:rPr>
        <w:t>分。</w:t>
      </w:r>
    </w:p>
    <w:p>
      <w:pPr>
        <w:spacing w:line="360" w:lineRule="auto"/>
        <w:ind w:firstLine="480" w:firstLineChars="200"/>
        <w:rPr>
          <w:rFonts w:hint="eastAsia" w:ascii="宋体" w:hAnsi="宋体"/>
          <w:b/>
          <w:sz w:val="24"/>
        </w:rPr>
      </w:pPr>
      <w:r>
        <w:rPr>
          <w:rFonts w:hint="eastAsia" w:ascii="宋体" w:hAnsi="宋体"/>
          <w:b/>
          <w:sz w:val="24"/>
        </w:rPr>
        <w:t>业绩</w:t>
      </w:r>
      <w:r>
        <w:rPr>
          <w:rFonts w:hint="eastAsia" w:ascii="宋体" w:hAnsi="宋体"/>
          <w:b/>
          <w:sz w:val="24"/>
          <w:lang w:val="en-US" w:eastAsia="zh-CN"/>
        </w:rPr>
        <w:t>10</w:t>
      </w:r>
      <w:r>
        <w:rPr>
          <w:rFonts w:hint="eastAsia" w:ascii="宋体" w:hAnsi="宋体"/>
          <w:b/>
          <w:sz w:val="24"/>
        </w:rPr>
        <w:t>分</w:t>
      </w:r>
    </w:p>
    <w:p>
      <w:pPr>
        <w:spacing w:line="360" w:lineRule="auto"/>
        <w:ind w:firstLine="481"/>
        <w:rPr>
          <w:rFonts w:hint="eastAsia" w:ascii="宋体" w:hAnsi="宋体"/>
          <w:b/>
          <w:color w:val="auto"/>
          <w:sz w:val="24"/>
          <w:lang w:val="en-US" w:eastAsia="zh-CN"/>
        </w:rPr>
      </w:pPr>
      <w:r>
        <w:rPr>
          <w:rFonts w:hint="eastAsia" w:ascii="宋体" w:hAnsi="宋体"/>
          <w:sz w:val="24"/>
        </w:rPr>
        <w:t>201</w:t>
      </w:r>
      <w:r>
        <w:rPr>
          <w:rFonts w:hint="eastAsia" w:ascii="宋体" w:hAnsi="宋体"/>
          <w:sz w:val="24"/>
          <w:lang w:val="en-US" w:eastAsia="zh-CN"/>
        </w:rPr>
        <w:t>4</w:t>
      </w:r>
      <w:r>
        <w:rPr>
          <w:rFonts w:hint="eastAsia" w:ascii="宋体" w:hAnsi="宋体"/>
          <w:sz w:val="24"/>
        </w:rPr>
        <w:t>年以来（以合同日期为准）具有</w:t>
      </w:r>
      <w:r>
        <w:rPr>
          <w:rFonts w:hint="eastAsia" w:ascii="宋体" w:hAnsi="宋体"/>
          <w:sz w:val="24"/>
          <w:lang w:eastAsia="zh-CN"/>
        </w:rPr>
        <w:t>同类</w:t>
      </w:r>
      <w:r>
        <w:rPr>
          <w:rFonts w:hint="eastAsia" w:ascii="宋体" w:hAnsi="宋体"/>
          <w:sz w:val="24"/>
        </w:rPr>
        <w:t>项目业绩，单项合同金额在</w:t>
      </w:r>
      <w:r>
        <w:rPr>
          <w:rFonts w:hint="eastAsia" w:ascii="宋体" w:hAnsi="宋体"/>
          <w:sz w:val="24"/>
          <w:lang w:val="en-US" w:eastAsia="zh-CN"/>
        </w:rPr>
        <w:t>200</w:t>
      </w:r>
      <w:r>
        <w:rPr>
          <w:rFonts w:hint="eastAsia" w:ascii="宋体" w:hAnsi="宋体"/>
          <w:sz w:val="24"/>
        </w:rPr>
        <w:t>万以上（含</w:t>
      </w:r>
      <w:r>
        <w:rPr>
          <w:rFonts w:hint="eastAsia" w:ascii="宋体" w:hAnsi="宋体"/>
          <w:sz w:val="24"/>
          <w:lang w:val="en-US" w:eastAsia="zh-CN"/>
        </w:rPr>
        <w:t>200</w:t>
      </w:r>
      <w:r>
        <w:rPr>
          <w:rFonts w:hint="eastAsia" w:ascii="宋体" w:hAnsi="宋体"/>
          <w:sz w:val="24"/>
        </w:rPr>
        <w:t>万），</w:t>
      </w:r>
      <w:r>
        <w:rPr>
          <w:rFonts w:hint="eastAsia" w:ascii="宋体" w:hAnsi="宋体"/>
          <w:sz w:val="24"/>
          <w:lang w:eastAsia="zh-CN"/>
        </w:rPr>
        <w:t>中标（成交）通知书、</w:t>
      </w:r>
      <w:r>
        <w:rPr>
          <w:rFonts w:hint="eastAsia" w:ascii="宋体" w:hAnsi="宋体"/>
          <w:sz w:val="24"/>
        </w:rPr>
        <w:t>合同</w:t>
      </w:r>
      <w:r>
        <w:rPr>
          <w:rFonts w:hint="eastAsia" w:ascii="宋体" w:hAnsi="宋体"/>
          <w:sz w:val="24"/>
          <w:lang w:eastAsia="zh-CN"/>
        </w:rPr>
        <w:t>、</w:t>
      </w:r>
      <w:r>
        <w:rPr>
          <w:rFonts w:hint="eastAsia" w:ascii="宋体" w:hAnsi="宋体"/>
          <w:sz w:val="24"/>
        </w:rPr>
        <w:t>验收报告齐全的每个</w:t>
      </w:r>
      <w:r>
        <w:rPr>
          <w:rFonts w:hint="eastAsia" w:ascii="宋体" w:hAnsi="宋体"/>
          <w:sz w:val="24"/>
          <w:lang w:val="en-US" w:eastAsia="zh-CN"/>
        </w:rPr>
        <w:t>2</w:t>
      </w:r>
      <w:r>
        <w:rPr>
          <w:rFonts w:hint="eastAsia" w:ascii="宋体" w:hAnsi="宋体"/>
          <w:sz w:val="24"/>
        </w:rPr>
        <w:t>分，满分</w:t>
      </w:r>
      <w:r>
        <w:rPr>
          <w:rFonts w:hint="eastAsia" w:ascii="宋体" w:hAnsi="宋体"/>
          <w:sz w:val="24"/>
          <w:lang w:val="en-US" w:eastAsia="zh-CN"/>
        </w:rPr>
        <w:t>10</w:t>
      </w:r>
      <w:r>
        <w:rPr>
          <w:rFonts w:hint="eastAsia" w:ascii="宋体" w:hAnsi="宋体"/>
          <w:sz w:val="24"/>
        </w:rPr>
        <w:t>分。</w:t>
      </w:r>
    </w:p>
    <w:p>
      <w:pPr>
        <w:spacing w:line="360" w:lineRule="auto"/>
        <w:rPr>
          <w:rFonts w:hint="eastAsia" w:ascii="宋体" w:hAnsi="宋体"/>
          <w:b/>
          <w:color w:val="auto"/>
          <w:sz w:val="24"/>
        </w:rPr>
      </w:pPr>
      <w:r>
        <w:rPr>
          <w:rFonts w:hint="eastAsia" w:ascii="宋体" w:hAnsi="宋体"/>
          <w:b/>
          <w:color w:val="auto"/>
          <w:sz w:val="24"/>
        </w:rPr>
        <w:t xml:space="preserve">    服务承诺</w:t>
      </w:r>
      <w:r>
        <w:rPr>
          <w:rFonts w:hint="eastAsia" w:ascii="宋体" w:hAnsi="宋体"/>
          <w:b/>
          <w:color w:val="auto"/>
          <w:sz w:val="24"/>
          <w:lang w:val="en-US" w:eastAsia="zh-CN"/>
        </w:rPr>
        <w:t>6</w:t>
      </w:r>
      <w:r>
        <w:rPr>
          <w:rFonts w:hint="eastAsia" w:ascii="宋体" w:hAnsi="宋体"/>
          <w:b/>
          <w:color w:val="auto"/>
          <w:sz w:val="24"/>
        </w:rPr>
        <w:t>分</w:t>
      </w:r>
    </w:p>
    <w:p>
      <w:pPr>
        <w:spacing w:line="360" w:lineRule="auto"/>
        <w:ind w:firstLine="480" w:firstLineChars="200"/>
        <w:rPr>
          <w:rFonts w:hint="eastAsia" w:ascii="宋体" w:hAnsi="宋体"/>
          <w:color w:val="auto"/>
          <w:sz w:val="24"/>
        </w:rPr>
      </w:pPr>
      <w:r>
        <w:rPr>
          <w:rFonts w:hint="eastAsia" w:ascii="宋体" w:hAnsi="宋体"/>
          <w:color w:val="auto"/>
          <w:sz w:val="24"/>
        </w:rPr>
        <w:t>服务计划完整、可行</w:t>
      </w:r>
      <w:r>
        <w:rPr>
          <w:rFonts w:hint="eastAsia" w:ascii="宋体" w:hAnsi="宋体"/>
          <w:color w:val="auto"/>
          <w:sz w:val="24"/>
          <w:lang w:eastAsia="zh-CN"/>
        </w:rPr>
        <w:t>，得</w:t>
      </w:r>
      <w:r>
        <w:rPr>
          <w:rFonts w:hint="eastAsia" w:ascii="宋体" w:hAnsi="宋体"/>
          <w:color w:val="auto"/>
          <w:sz w:val="24"/>
          <w:lang w:val="en-US" w:eastAsia="zh-CN"/>
        </w:rPr>
        <w:t>3</w:t>
      </w:r>
      <w:r>
        <w:rPr>
          <w:rFonts w:hint="eastAsia" w:ascii="宋体" w:hAnsi="宋体"/>
          <w:color w:val="auto"/>
          <w:sz w:val="24"/>
        </w:rPr>
        <w:t>分。</w:t>
      </w:r>
    </w:p>
    <w:p>
      <w:pPr>
        <w:spacing w:line="360" w:lineRule="auto"/>
        <w:ind w:firstLine="480" w:firstLineChars="200"/>
        <w:rPr>
          <w:rFonts w:hint="eastAsia" w:ascii="宋体" w:hAnsi="宋体"/>
          <w:color w:val="auto"/>
          <w:sz w:val="24"/>
        </w:rPr>
      </w:pPr>
      <w:r>
        <w:rPr>
          <w:rFonts w:hint="eastAsia" w:ascii="宋体" w:hAnsi="宋体"/>
          <w:color w:val="auto"/>
          <w:sz w:val="24"/>
          <w:lang w:eastAsia="zh-CN"/>
        </w:rPr>
        <w:t>服务计划完整、可行的基础上，视其优越性综合评定，</w:t>
      </w:r>
      <w:r>
        <w:rPr>
          <w:rFonts w:hint="eastAsia" w:ascii="宋体" w:hAnsi="宋体"/>
          <w:color w:val="auto"/>
          <w:sz w:val="24"/>
        </w:rPr>
        <w:t>好：</w:t>
      </w:r>
      <w:r>
        <w:rPr>
          <w:rFonts w:hint="eastAsia" w:ascii="宋体" w:hAnsi="宋体"/>
          <w:color w:val="auto"/>
          <w:sz w:val="24"/>
          <w:lang w:val="en-US" w:eastAsia="zh-CN"/>
        </w:rPr>
        <w:t>3</w:t>
      </w:r>
      <w:r>
        <w:rPr>
          <w:rFonts w:hint="eastAsia" w:ascii="宋体" w:hAnsi="宋体"/>
          <w:color w:val="auto"/>
          <w:sz w:val="24"/>
        </w:rPr>
        <w:t>分，较好：</w:t>
      </w:r>
      <w:r>
        <w:rPr>
          <w:rFonts w:hint="eastAsia" w:ascii="宋体" w:hAnsi="宋体"/>
          <w:color w:val="auto"/>
          <w:sz w:val="24"/>
          <w:lang w:val="en-US" w:eastAsia="zh-CN"/>
        </w:rPr>
        <w:t>2</w:t>
      </w:r>
      <w:r>
        <w:rPr>
          <w:rFonts w:hint="eastAsia" w:ascii="宋体" w:hAnsi="宋体"/>
          <w:color w:val="auto"/>
          <w:sz w:val="24"/>
        </w:rPr>
        <w:t>分，一般：</w:t>
      </w:r>
      <w:r>
        <w:rPr>
          <w:rFonts w:hint="eastAsia" w:ascii="宋体" w:hAnsi="宋体"/>
          <w:color w:val="auto"/>
          <w:sz w:val="24"/>
          <w:lang w:val="en-US" w:eastAsia="zh-CN"/>
        </w:rPr>
        <w:t>1</w:t>
      </w:r>
      <w:r>
        <w:rPr>
          <w:rFonts w:hint="eastAsia" w:ascii="宋体" w:hAnsi="宋体"/>
          <w:color w:val="auto"/>
          <w:sz w:val="24"/>
        </w:rPr>
        <w:t>分</w:t>
      </w:r>
      <w:r>
        <w:rPr>
          <w:rFonts w:hint="eastAsia" w:ascii="宋体" w:hAnsi="宋体"/>
          <w:color w:val="auto"/>
          <w:sz w:val="24"/>
          <w:lang w:eastAsia="zh-CN"/>
        </w:rPr>
        <w:t>，</w:t>
      </w:r>
      <w:r>
        <w:rPr>
          <w:rFonts w:hint="eastAsia" w:ascii="宋体" w:hAnsi="宋体"/>
          <w:color w:val="auto"/>
          <w:sz w:val="24"/>
        </w:rPr>
        <w:t>满分</w:t>
      </w:r>
      <w:r>
        <w:rPr>
          <w:rFonts w:hint="eastAsia" w:ascii="宋体" w:hAnsi="宋体"/>
          <w:color w:val="auto"/>
          <w:sz w:val="24"/>
          <w:lang w:val="en-US" w:eastAsia="zh-CN"/>
        </w:rPr>
        <w:t>3</w:t>
      </w:r>
      <w:r>
        <w:rPr>
          <w:rFonts w:hint="eastAsia" w:ascii="宋体" w:hAnsi="宋体"/>
          <w:color w:val="auto"/>
          <w:sz w:val="24"/>
        </w:rPr>
        <w:t>分</w:t>
      </w:r>
      <w:r>
        <w:rPr>
          <w:rFonts w:hint="eastAsia" w:ascii="宋体" w:hAnsi="宋体"/>
          <w:sz w:val="24"/>
          <w:lang w:eastAsia="zh-CN"/>
        </w:rPr>
        <w:t>。</w:t>
      </w:r>
    </w:p>
    <w:p>
      <w:pPr>
        <w:spacing w:line="360" w:lineRule="auto"/>
        <w:ind w:firstLine="480" w:firstLineChars="200"/>
        <w:rPr>
          <w:rFonts w:hint="eastAsia" w:ascii="宋体" w:hAnsi="宋体"/>
          <w:b/>
          <w:color w:val="auto"/>
          <w:sz w:val="24"/>
        </w:rPr>
      </w:pPr>
      <w:r>
        <w:rPr>
          <w:rFonts w:hint="eastAsia" w:ascii="宋体" w:hAnsi="宋体"/>
          <w:b/>
          <w:color w:val="auto"/>
          <w:sz w:val="24"/>
        </w:rPr>
        <w:t>投标文件规范程度2分</w:t>
      </w:r>
      <w:bookmarkStart w:id="0" w:name="_GoBack"/>
      <w:bookmarkEnd w:id="0"/>
    </w:p>
    <w:p>
      <w:pPr>
        <w:spacing w:line="360" w:lineRule="auto"/>
        <w:ind w:firstLine="480" w:firstLineChars="200"/>
        <w:rPr>
          <w:rFonts w:hint="eastAsia" w:ascii="宋体" w:hAnsi="宋体"/>
          <w:color w:val="auto"/>
          <w:sz w:val="24"/>
        </w:rPr>
      </w:pPr>
      <w:r>
        <w:rPr>
          <w:rFonts w:hint="eastAsia" w:ascii="宋体" w:hAnsi="宋体"/>
          <w:color w:val="auto"/>
          <w:sz w:val="24"/>
        </w:rPr>
        <w:t>装订规范、文字清晰、无差错得1分，所提供资料准确完整得1分</w:t>
      </w:r>
      <w:r>
        <w:rPr>
          <w:rFonts w:hint="eastAsia" w:ascii="宋体" w:hAnsi="宋体"/>
          <w:color w:val="auto"/>
          <w:sz w:val="24"/>
          <w:lang w:eastAsia="zh-CN"/>
        </w:rPr>
        <w:t>，满分</w:t>
      </w:r>
      <w:r>
        <w:rPr>
          <w:rFonts w:hint="eastAsia" w:ascii="宋体" w:hAnsi="宋体"/>
          <w:color w:val="auto"/>
          <w:sz w:val="24"/>
          <w:lang w:val="en-US" w:eastAsia="zh-CN"/>
        </w:rPr>
        <w:t>2分</w:t>
      </w:r>
      <w:r>
        <w:rPr>
          <w:rFonts w:hint="eastAsia" w:ascii="宋体" w:hAnsi="宋体"/>
          <w:color w:val="auto"/>
          <w:sz w:val="24"/>
        </w:rPr>
        <w:t>。</w:t>
      </w:r>
    </w:p>
    <w:p>
      <w:pPr>
        <w:snapToGrid w:val="0"/>
        <w:spacing w:line="360" w:lineRule="auto"/>
        <w:ind w:firstLine="480" w:firstLineChars="200"/>
        <w:rPr>
          <w:rFonts w:hint="eastAsia" w:ascii="宋体" w:hAnsi="宋体"/>
          <w:color w:val="auto"/>
          <w:sz w:val="24"/>
        </w:rPr>
      </w:pPr>
      <w:r>
        <w:rPr>
          <w:rFonts w:hint="eastAsia" w:ascii="宋体" w:hAnsi="宋体"/>
          <w:b/>
          <w:color w:val="auto"/>
          <w:sz w:val="24"/>
        </w:rPr>
        <w:t>对招标文件的响应程度</w:t>
      </w:r>
      <w:r>
        <w:rPr>
          <w:rFonts w:hint="eastAsia" w:ascii="宋体" w:hAnsi="宋体"/>
          <w:b/>
          <w:color w:val="auto"/>
          <w:sz w:val="24"/>
          <w:lang w:val="en-US" w:eastAsia="zh-CN"/>
        </w:rPr>
        <w:t>40</w:t>
      </w:r>
      <w:r>
        <w:rPr>
          <w:rFonts w:hint="eastAsia" w:ascii="宋体" w:hAnsi="宋体"/>
          <w:b/>
          <w:color w:val="auto"/>
          <w:sz w:val="24"/>
        </w:rPr>
        <w:t>分</w:t>
      </w:r>
    </w:p>
    <w:p>
      <w:p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根据</w:t>
      </w:r>
      <w:r>
        <w:rPr>
          <w:rFonts w:hint="eastAsia" w:ascii="宋体" w:hAnsi="宋体"/>
          <w:color w:val="auto"/>
          <w:sz w:val="24"/>
          <w:lang w:eastAsia="zh-CN"/>
        </w:rPr>
        <w:t>投标人</w:t>
      </w:r>
      <w:r>
        <w:rPr>
          <w:rFonts w:hint="eastAsia" w:ascii="宋体" w:hAnsi="宋体"/>
          <w:color w:val="auto"/>
          <w:sz w:val="24"/>
        </w:rPr>
        <w:t>的</w:t>
      </w:r>
      <w:r>
        <w:rPr>
          <w:rFonts w:hint="eastAsia" w:ascii="宋体" w:hAnsi="宋体"/>
          <w:color w:val="auto"/>
          <w:sz w:val="24"/>
          <w:lang w:eastAsia="zh-CN"/>
        </w:rPr>
        <w:t>综合实力和</w:t>
      </w:r>
      <w:r>
        <w:rPr>
          <w:rFonts w:hint="eastAsia" w:ascii="宋体" w:hAnsi="宋体"/>
          <w:color w:val="auto"/>
          <w:sz w:val="24"/>
        </w:rPr>
        <w:t>优越性等整体性能，好：</w:t>
      </w:r>
      <w:r>
        <w:rPr>
          <w:rFonts w:hint="eastAsia" w:ascii="宋体" w:hAnsi="宋体"/>
          <w:color w:val="auto"/>
          <w:sz w:val="24"/>
          <w:lang w:val="en-US" w:eastAsia="zh-CN"/>
        </w:rPr>
        <w:t>40</w:t>
      </w:r>
      <w:r>
        <w:rPr>
          <w:rFonts w:hint="eastAsia" w:ascii="宋体" w:hAnsi="宋体"/>
          <w:color w:val="auto"/>
          <w:sz w:val="24"/>
        </w:rPr>
        <w:t>分，较好：</w:t>
      </w:r>
      <w:r>
        <w:rPr>
          <w:rFonts w:hint="eastAsia" w:ascii="宋体" w:hAnsi="宋体"/>
          <w:color w:val="auto"/>
          <w:sz w:val="24"/>
          <w:lang w:val="en-US" w:eastAsia="zh-CN"/>
        </w:rPr>
        <w:t>35</w:t>
      </w:r>
      <w:r>
        <w:rPr>
          <w:rFonts w:hint="eastAsia" w:ascii="宋体" w:hAnsi="宋体"/>
          <w:color w:val="auto"/>
          <w:sz w:val="24"/>
        </w:rPr>
        <w:t>分，一般：</w:t>
      </w:r>
      <w:r>
        <w:rPr>
          <w:rFonts w:hint="eastAsia" w:ascii="宋体" w:hAnsi="宋体"/>
          <w:color w:val="auto"/>
          <w:sz w:val="24"/>
          <w:lang w:val="en-US" w:eastAsia="zh-CN"/>
        </w:rPr>
        <w:t>30</w:t>
      </w:r>
      <w:r>
        <w:rPr>
          <w:rFonts w:hint="eastAsia" w:ascii="宋体" w:hAnsi="宋体"/>
          <w:color w:val="auto"/>
          <w:sz w:val="24"/>
        </w:rPr>
        <w:t>分</w:t>
      </w:r>
      <w:r>
        <w:rPr>
          <w:rFonts w:hint="eastAsia" w:ascii="宋体" w:hAnsi="宋体"/>
          <w:color w:val="auto"/>
          <w:sz w:val="24"/>
          <w:lang w:eastAsia="zh-CN"/>
        </w:rPr>
        <w:t>，</w:t>
      </w:r>
      <w:r>
        <w:rPr>
          <w:rFonts w:hint="eastAsia" w:ascii="宋体" w:hAnsi="宋体"/>
          <w:color w:val="auto"/>
          <w:sz w:val="24"/>
        </w:rPr>
        <w:t>满分</w:t>
      </w:r>
      <w:r>
        <w:rPr>
          <w:rFonts w:hint="eastAsia" w:ascii="宋体" w:hAnsi="宋体"/>
          <w:color w:val="auto"/>
          <w:sz w:val="24"/>
          <w:lang w:val="en-US" w:eastAsia="zh-CN"/>
        </w:rPr>
        <w:t>40</w:t>
      </w:r>
      <w:r>
        <w:rPr>
          <w:rFonts w:hint="eastAsia" w:ascii="宋体" w:hAnsi="宋体"/>
          <w:color w:val="auto"/>
          <w:sz w:val="24"/>
        </w:rPr>
        <w:t>分。</w:t>
      </w:r>
    </w:p>
    <w:p>
      <w:pPr>
        <w:snapToGrid w:val="0"/>
        <w:spacing w:line="360" w:lineRule="auto"/>
        <w:ind w:firstLine="480" w:firstLineChars="200"/>
        <w:rPr>
          <w:rFonts w:hint="eastAsia" w:ascii="宋体" w:hAnsi="宋体"/>
          <w:b/>
          <w:color w:val="auto"/>
          <w:sz w:val="24"/>
        </w:rPr>
      </w:pPr>
      <w:r>
        <w:rPr>
          <w:rFonts w:hint="eastAsia" w:ascii="宋体" w:hAnsi="宋体"/>
          <w:b/>
          <w:color w:val="auto"/>
          <w:sz w:val="24"/>
        </w:rPr>
        <w:t>投标报价</w:t>
      </w:r>
      <w:r>
        <w:rPr>
          <w:rFonts w:hint="eastAsia" w:ascii="宋体" w:hAnsi="宋体"/>
          <w:b/>
          <w:color w:val="auto"/>
          <w:sz w:val="24"/>
          <w:lang w:val="en-US" w:eastAsia="zh-CN"/>
        </w:rPr>
        <w:t>25</w:t>
      </w:r>
      <w:r>
        <w:rPr>
          <w:rFonts w:hint="eastAsia" w:ascii="宋体" w:hAnsi="宋体"/>
          <w:b/>
          <w:color w:val="auto"/>
          <w:sz w:val="24"/>
        </w:rPr>
        <w:t>分</w:t>
      </w:r>
    </w:p>
    <w:p>
      <w:r>
        <w:rPr>
          <w:rFonts w:hint="eastAsia" w:ascii="宋体" w:hAnsi="宋体"/>
          <w:color w:val="auto"/>
          <w:sz w:val="24"/>
          <w:lang w:val="en-US" w:eastAsia="zh-CN"/>
        </w:rPr>
        <w:t xml:space="preserve">    </w:t>
      </w:r>
      <w:r>
        <w:rPr>
          <w:rFonts w:hint="eastAsia" w:ascii="宋体" w:hAnsi="宋体"/>
          <w:color w:val="auto"/>
          <w:sz w:val="24"/>
        </w:rPr>
        <w:t>报价得分=最低有效投标报价/有效投标报价×</w:t>
      </w:r>
      <w:r>
        <w:rPr>
          <w:rFonts w:hint="eastAsia" w:ascii="宋体" w:hAnsi="宋体"/>
          <w:color w:val="auto"/>
          <w:sz w:val="24"/>
          <w:lang w:val="en-US" w:eastAsia="zh-CN"/>
        </w:rPr>
        <w:t>25</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5b8b\4f53">
    <w:altName w:val="hakuyoxingshu7000"/>
    <w:panose1 w:val="00000000000000000000"/>
    <w:charset w:val="01"/>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hakuyoxingshu7000">
    <w:panose1 w:val="02000600000000000000"/>
    <w:charset w:val="86"/>
    <w:family w:val="auto"/>
    <w:pitch w:val="default"/>
    <w:sig w:usb0="FFFFFFFF" w:usb1="E9FFFFFF" w:usb2="0000003F" w:usb3="00000000" w:csb0="603F00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BB0C4D"/>
    <w:rsid w:val="27E34ECD"/>
    <w:rsid w:val="2A833F70"/>
    <w:rsid w:val="33D96E26"/>
    <w:rsid w:val="3C954B96"/>
    <w:rsid w:val="46FC137E"/>
    <w:rsid w:val="4FC06006"/>
    <w:rsid w:val="65713C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许昌市魏都区政府采购中心:许昌市魏都区政府采购中心</cp:lastModifiedBy>
  <cp:lastPrinted>2017-07-14T01:59:00Z</cp:lastPrinted>
  <dcterms:modified xsi:type="dcterms:W3CDTF">2017-07-17T09:06:06Z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