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JZFCG-T2017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011许昌经济技术开发区住房建设城市管理与环境保护局“许昌经济技术开发区环卫车辆保险采购服务项目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招标</w:t>
      </w:r>
      <w:r>
        <w:rPr>
          <w:rFonts w:hint="eastAsia" w:hAnsi="宋体" w:eastAsia="宋体" w:cs="宋体"/>
          <w:b/>
          <w:bCs/>
          <w:color w:val="000000"/>
          <w:sz w:val="44"/>
          <w:szCs w:val="44"/>
          <w:lang w:val="en-US" w:eastAsia="zh-CN"/>
        </w:rPr>
        <w:t>公告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山东天马招标代理有限公司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许昌经济技术开发区住房建设城市管理与环境保护局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的委托，根据委托协议委托的事项，就“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许昌经济技术开发区环卫车辆保险采购服务项目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”项目进行竞争性谈判采购，现邀请合格的供应商参加谈判。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许昌经济技术开发区环卫车辆保险采购服务项目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项目编号：JZFCG-T2017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采购需求：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开发区环卫车辆保险采购服务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详见谈判文件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251579.00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二、谈判响应供应商资格要求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1符合《中华人民共和国政府采购法》第二十二条之规定；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2在中华人民共和国境内注册，具有有效的营业执照、税务登记证、组织机构代码证或三证合一营业执照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3具有中国保险监督管理委员会颁发的保险业务许可证。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必须有与履行定点保险协议书规定的承保、理赔及其他服务要求的能力，具备对出险人员及车辆快速查勘现场的能力。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5投标人需资产状况良好，近期无重大金融财经违法行为，具有较强的风险控制能力和较好的经营业绩且经营状况良好。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6在许昌地区设有固定的服务机构。</w:t>
      </w:r>
    </w:p>
    <w:p>
      <w:pPr>
        <w:spacing w:line="360" w:lineRule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本项目不接受联合体投标。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三、获取谈判文件的时间、地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点、方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（一）网上下载谈判文件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1、持CA数字认证证书，登录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"http://221.14.6.70:8088/ggzy/eps/public/RegistAllJcxx.html"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进行免费注册登记（详见许昌公共资源交易网“常见问题解答-诚信库网上注册相关资料下载”）；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谈判响应文件接收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截止时间前登录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"http://221.14.6.70:8088/ggzy/"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http://221.14.6.70:8088/ggzy/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，自行下载谈判文件（详见许昌公共资源交易网“常见问题解答-交易系统操作手册”）。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（二）未通过许昌市公共资源交易网下载谈判文件的投标企业,拒收其递交的谈判响应文件。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谈判文件售价：人民币300元/套，售后不退（供应商在递交纸质谈判响应文件时向代理公司缴纳）。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四、谈判响应文件接收截止时间、谈判开始时间及地点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谈判响应文件接收截止及谈判开始时间：2017年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09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分（北京时间），逾期送达或不符合规定的谈判响应文件不予接受。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谈判地点：许昌市公共资源交易中心开标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室（许昌市龙兴路与竹林路交汇处许昌市公共资源交易大厦三楼）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五、代理机构及采购单位地址、联系人、联系电话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采购人：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许昌经济技术开发区住房建设城市管理与环境保护局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许昌经济技术开发区创业服务中心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先生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13903740062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代理机构：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山东天马招标代理有限公司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许昌市创业服务中心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D座709室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赵女士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18768805725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山东天马招标代理有限公司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 xml:space="preserve">                            2017年7月11日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55E6"/>
    <w:rsid w:val="1157452E"/>
    <w:rsid w:val="1F5514F4"/>
    <w:rsid w:val="1FC83822"/>
    <w:rsid w:val="2B5542A3"/>
    <w:rsid w:val="2BCE55E6"/>
    <w:rsid w:val="2C9C5E23"/>
    <w:rsid w:val="30DD6F38"/>
    <w:rsid w:val="45DB2D29"/>
    <w:rsid w:val="4D0C6784"/>
    <w:rsid w:val="56C65C4A"/>
    <w:rsid w:val="6A995DA7"/>
    <w:rsid w:val="77253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/>
      <w:kern w:val="0"/>
      <w:szCs w:val="21"/>
    </w:rPr>
  </w:style>
  <w:style w:type="paragraph" w:customStyle="1" w:styleId="4">
    <w:name w:val="Char1"/>
    <w:basedOn w:val="1"/>
    <w:link w:val="3"/>
    <w:qFormat/>
    <w:uiPriority w:val="0"/>
    <w:pPr>
      <w:adjustRightInd w:val="0"/>
      <w:spacing w:line="600" w:lineRule="exact"/>
      <w:ind w:firstLine="560" w:firstLineChars="200"/>
      <w:jc w:val="center"/>
    </w:pPr>
  </w:style>
  <w:style w:type="character" w:styleId="5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2016-04-11T09:37:00Z</dcterms:created>
  <dc:creator>lenovo</dc:creator>
  <cp:lastModifiedBy>Administrator</cp:lastModifiedBy>
  <cp:lastPrinted>2016-04-25T10:20:00Z</cp:lastPrinted>
  <dcterms:modified xsi:type="dcterms:W3CDTF">2017-07-11T08:25:45Z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