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0"/>
        <w:ind w:firstLine="720"/>
        <w:rPr>
          <w:rFonts w:hint="eastAsia" w:ascii="仿宋_GB2312" w:hAnsi="微软雅黑" w:eastAsia="仿宋_GB2312"/>
          <w:b/>
          <w:bCs/>
          <w:sz w:val="52"/>
          <w:szCs w:val="52"/>
          <w:lang w:eastAsia="zh-CN"/>
        </w:rPr>
      </w:pPr>
      <w:bookmarkStart w:id="0" w:name="_Toc17676"/>
      <w:r>
        <w:rPr>
          <w:rFonts w:hint="eastAsia" w:ascii="仿宋_GB2312" w:hAnsi="微软雅黑" w:eastAsia="仿宋_GB2312"/>
          <w:b/>
          <w:bCs/>
          <w:sz w:val="52"/>
          <w:szCs w:val="52"/>
          <w:lang w:eastAsia="zh-CN"/>
        </w:rPr>
        <w:t>项目背景及采购需求</w:t>
      </w:r>
    </w:p>
    <w:p>
      <w:pPr>
        <w:rPr>
          <w:rFonts w:hint="eastAsia"/>
          <w:lang w:eastAsia="zh-CN"/>
        </w:rPr>
      </w:pPr>
    </w:p>
    <w:p>
      <w:pPr>
        <w:pStyle w:val="10"/>
        <w:ind w:firstLine="720"/>
        <w:rPr>
          <w:rFonts w:hint="eastAsia" w:ascii="仿宋_GB2312" w:hAnsi="微软雅黑" w:eastAsia="仿宋_GB2312"/>
          <w:sz w:val="36"/>
          <w:szCs w:val="36"/>
        </w:rPr>
      </w:pPr>
      <w:r>
        <w:rPr>
          <w:rFonts w:hint="eastAsia" w:ascii="仿宋_GB2312" w:hAnsi="微软雅黑" w:eastAsia="仿宋_GB2312"/>
          <w:sz w:val="36"/>
          <w:szCs w:val="36"/>
        </w:rPr>
        <w:t>项</w:t>
      </w:r>
      <w:r>
        <w:rPr>
          <w:rFonts w:hint="eastAsia" w:ascii="仿宋_GB2312" w:hAnsi="微软雅黑" w:eastAsia="仿宋_GB2312"/>
          <w:sz w:val="36"/>
          <w:szCs w:val="36"/>
          <w:lang w:val="en-US" w:eastAsia="zh-CN"/>
        </w:rPr>
        <w:t xml:space="preserve">   </w:t>
      </w:r>
      <w:r>
        <w:rPr>
          <w:rFonts w:hint="eastAsia" w:ascii="仿宋_GB2312" w:hAnsi="微软雅黑" w:eastAsia="仿宋_GB2312"/>
          <w:sz w:val="36"/>
          <w:szCs w:val="36"/>
        </w:rPr>
        <w:t>目</w:t>
      </w:r>
      <w:r>
        <w:rPr>
          <w:rFonts w:hint="eastAsia" w:ascii="仿宋_GB2312" w:hAnsi="微软雅黑" w:eastAsia="仿宋_GB2312"/>
          <w:sz w:val="36"/>
          <w:szCs w:val="36"/>
          <w:lang w:val="en-US" w:eastAsia="zh-CN"/>
        </w:rPr>
        <w:t xml:space="preserve">   </w:t>
      </w:r>
      <w:r>
        <w:rPr>
          <w:rFonts w:hint="eastAsia" w:ascii="仿宋_GB2312" w:hAnsi="微软雅黑" w:eastAsia="仿宋_GB2312"/>
          <w:sz w:val="36"/>
          <w:szCs w:val="36"/>
        </w:rPr>
        <w:t>背</w:t>
      </w:r>
      <w:r>
        <w:rPr>
          <w:rFonts w:hint="eastAsia" w:ascii="仿宋_GB2312" w:hAnsi="微软雅黑" w:eastAsia="仿宋_GB2312"/>
          <w:sz w:val="36"/>
          <w:szCs w:val="36"/>
          <w:lang w:val="en-US" w:eastAsia="zh-CN"/>
        </w:rPr>
        <w:t xml:space="preserve">   </w:t>
      </w:r>
      <w:r>
        <w:rPr>
          <w:rFonts w:hint="eastAsia" w:ascii="仿宋_GB2312" w:hAnsi="微软雅黑" w:eastAsia="仿宋_GB2312"/>
          <w:sz w:val="36"/>
          <w:szCs w:val="36"/>
        </w:rPr>
        <w:t>景</w:t>
      </w:r>
      <w:bookmarkEnd w:id="0"/>
    </w:p>
    <w:p>
      <w:pPr>
        <w:rPr>
          <w:rFonts w:hint="eastAsia"/>
        </w:rPr>
      </w:pPr>
      <w:bookmarkStart w:id="279" w:name="_GoBack"/>
      <w:bookmarkEnd w:id="279"/>
    </w:p>
    <w:p>
      <w:pPr>
        <w:spacing w:line="360" w:lineRule="auto"/>
        <w:ind w:firstLine="480" w:firstLineChars="200"/>
        <w:rPr>
          <w:rFonts w:hint="eastAsia" w:ascii="仿宋_GB2312" w:hAnsi="微软雅黑" w:eastAsia="仿宋_GB2312"/>
          <w:sz w:val="24"/>
          <w:shd w:val="clear" w:color="auto" w:fill="FFFFFF"/>
        </w:rPr>
      </w:pPr>
      <w:r>
        <w:rPr>
          <w:rFonts w:hint="eastAsia" w:ascii="仿宋_GB2312" w:hAnsi="微软雅黑" w:eastAsia="仿宋_GB2312"/>
          <w:sz w:val="24"/>
          <w:shd w:val="clear" w:color="auto" w:fill="FFFFFF"/>
        </w:rPr>
        <w:t>许昌新区位于河南省许昌市城区北部，南连许昌市主城区，北接长葛市城区，规划面积186平方公里，功能定位是“四区一基地”，即：许昌市城乡一体化示范区、现代化复合型城市功能区、科技创新引领区、对外开放先行区和全国重要的输变电装备制造业基地。空间布局是“主副两中心、四区加两翼”：“主”就是新区主中心，即许昌新区商务中心区；“副”就是新区副中心，即许昌县新城区；“四区”包括中原电气谷核心区、郑州航空港经济综合实验区许昌承接区、尚集产业集聚区、魏都产业集聚区；“两翼”指在京珠高速公路以东至中原路和京广铁路以西至规划的安信公路，通过生态廊道的划分形成两翼的综合功能组团式发展。</w:t>
      </w:r>
    </w:p>
    <w:p>
      <w:pPr>
        <w:spacing w:line="360" w:lineRule="auto"/>
        <w:ind w:firstLine="480" w:firstLineChars="200"/>
        <w:rPr>
          <w:rFonts w:hint="eastAsia" w:ascii="仿宋_GB2312" w:hAnsi="微软雅黑" w:eastAsia="仿宋_GB2312"/>
          <w:sz w:val="24"/>
          <w:shd w:val="clear" w:color="auto" w:fill="FFFFFF"/>
        </w:rPr>
      </w:pPr>
      <w:r>
        <w:rPr>
          <w:rFonts w:hint="eastAsia" w:ascii="仿宋_GB2312" w:hAnsi="微软雅黑" w:eastAsia="仿宋_GB2312"/>
          <w:sz w:val="24"/>
          <w:shd w:val="clear" w:color="auto" w:fill="FFFFFF"/>
        </w:rPr>
        <w:t>许昌新区定位为全国重要的输变电装备制造业基地，是许昌市经济社会发展的核心增长极，将按照现代田园生态城市的标准来建设、经营和发展，为促进许昌外贸经济发展，计划筹建海关监管场所，依据《中华人民共和国海关监管场所管理办法》，信息化系统建设是保障监管场所内业务顺利开展的必要条件，信息化系统建设不仅要包含海关的通关一体化系统、跨境电商场站管理系统，场所内安防监控、围网建设、智能卡口建设、弱电智能化等相应的配套系统建设。</w:t>
      </w:r>
    </w:p>
    <w:p>
      <w:pPr>
        <w:pStyle w:val="10"/>
        <w:rPr>
          <w:rFonts w:hint="eastAsia" w:ascii="仿宋_GB2312" w:hAnsi="微软雅黑" w:eastAsia="仿宋_GB2312"/>
        </w:rPr>
      </w:pPr>
      <w:r>
        <w:rPr>
          <w:rFonts w:hint="eastAsia" w:ascii="仿宋_GB2312" w:hAnsi="微软雅黑" w:eastAsia="仿宋_GB2312"/>
          <w:sz w:val="28"/>
          <w:szCs w:val="28"/>
          <w:shd w:val="clear" w:color="auto" w:fill="FFFFFF"/>
        </w:rPr>
        <w:br w:type="page"/>
      </w:r>
      <w:bookmarkStart w:id="1" w:name="_Toc31087"/>
      <w:r>
        <w:rPr>
          <w:rFonts w:hint="eastAsia" w:ascii="仿宋_GB2312" w:hAnsi="微软雅黑" w:eastAsia="仿宋_GB2312"/>
          <w:sz w:val="36"/>
          <w:szCs w:val="36"/>
        </w:rPr>
        <w:t>软件系统部分</w:t>
      </w:r>
      <w:bookmarkEnd w:id="1"/>
    </w:p>
    <w:p>
      <w:pPr>
        <w:pStyle w:val="10"/>
        <w:jc w:val="left"/>
        <w:rPr>
          <w:rFonts w:hint="eastAsia" w:ascii="仿宋_GB2312" w:hAnsi="微软雅黑" w:eastAsia="仿宋_GB2312"/>
          <w:sz w:val="36"/>
          <w:szCs w:val="36"/>
        </w:rPr>
      </w:pPr>
      <w:bookmarkStart w:id="2" w:name="_Toc7711"/>
      <w:r>
        <w:rPr>
          <w:rFonts w:hint="eastAsia" w:ascii="仿宋_GB2312" w:hAnsi="微软雅黑" w:eastAsia="仿宋_GB2312"/>
          <w:sz w:val="36"/>
          <w:szCs w:val="36"/>
        </w:rPr>
        <w:t>一、通关一体化申报系统</w:t>
      </w:r>
      <w:bookmarkEnd w:id="2"/>
    </w:p>
    <w:p>
      <w:pPr>
        <w:pStyle w:val="10"/>
        <w:jc w:val="left"/>
        <w:rPr>
          <w:rFonts w:hint="eastAsia" w:ascii="仿宋_GB2312" w:hAnsi="微软雅黑" w:eastAsia="仿宋_GB2312"/>
          <w:sz w:val="36"/>
          <w:szCs w:val="36"/>
        </w:rPr>
      </w:pPr>
      <w:bookmarkStart w:id="3" w:name="_Toc16436"/>
      <w:r>
        <w:rPr>
          <w:rFonts w:hint="eastAsia" w:ascii="仿宋_GB2312" w:hAnsi="微软雅黑" w:eastAsia="仿宋_GB2312"/>
          <w:sz w:val="36"/>
          <w:szCs w:val="36"/>
        </w:rPr>
        <w:t>1.1 项目建设背景</w:t>
      </w:r>
      <w:bookmarkEnd w:id="3"/>
    </w:p>
    <w:p>
      <w:pPr>
        <w:spacing w:line="360" w:lineRule="auto"/>
        <w:ind w:firstLine="641"/>
        <w:rPr>
          <w:rFonts w:hint="eastAsia" w:ascii="仿宋_GB2312" w:hAnsi="微软雅黑" w:eastAsia="仿宋_GB2312"/>
          <w:sz w:val="28"/>
          <w:szCs w:val="28"/>
        </w:rPr>
      </w:pPr>
      <w:r>
        <w:rPr>
          <w:rFonts w:hint="eastAsia" w:ascii="仿宋_GB2312" w:hAnsi="微软雅黑" w:eastAsia="仿宋_GB2312"/>
          <w:sz w:val="28"/>
          <w:szCs w:val="28"/>
        </w:rPr>
        <w:t>随着郑州关区加工贸易和保税业务的蓬勃发展，海关特殊监管区域也不断增多，形成了由出口加工区、保税物流园区、综合保税区等组成的数量众多、种类齐全的海关特殊监管区域群体。通过近几年的发展，许多特殊监管区域已经发展成为所在地区的保税货物集散或加工中心，众多的企业利用这些特殊区域的相关政策及功能优势进行保税货物的物流配送与流转。随着各个区域的成熟运作，相互之间的功能定位的不断划分与实际产业链的不断分级，各特殊监管区域之间的横向联系日益密切，区域与区域间的货物分拨流转业务不断加大，对监管及物流的及时性提出了更高的要求。</w:t>
      </w:r>
    </w:p>
    <w:p>
      <w:pPr>
        <w:pStyle w:val="10"/>
        <w:jc w:val="left"/>
        <w:rPr>
          <w:rFonts w:hint="eastAsia" w:ascii="仿宋_GB2312" w:hAnsi="微软雅黑" w:eastAsia="仿宋_GB2312"/>
          <w:sz w:val="36"/>
          <w:szCs w:val="36"/>
        </w:rPr>
      </w:pPr>
      <w:bookmarkStart w:id="4" w:name="_Toc26748"/>
      <w:bookmarkStart w:id="5" w:name="_Toc414368863"/>
      <w:r>
        <w:rPr>
          <w:rFonts w:hint="eastAsia" w:ascii="仿宋_GB2312" w:hAnsi="微软雅黑" w:eastAsia="仿宋_GB2312"/>
          <w:sz w:val="36"/>
          <w:szCs w:val="36"/>
        </w:rPr>
        <w:t>1.2 业务现状</w:t>
      </w:r>
      <w:bookmarkEnd w:id="4"/>
      <w:bookmarkEnd w:id="5"/>
    </w:p>
    <w:p>
      <w:pPr>
        <w:pStyle w:val="13"/>
        <w:ind w:firstLine="644" w:firstLineChars="230"/>
        <w:rPr>
          <w:rFonts w:hint="eastAsia" w:ascii="仿宋_GB2312" w:hAnsi="微软雅黑" w:eastAsia="仿宋_GB2312"/>
          <w:sz w:val="28"/>
          <w:szCs w:val="28"/>
        </w:rPr>
      </w:pPr>
      <w:r>
        <w:rPr>
          <w:rFonts w:hint="eastAsia" w:ascii="仿宋_GB2312" w:hAnsi="微软雅黑" w:eastAsia="仿宋_GB2312"/>
          <w:sz w:val="28"/>
          <w:szCs w:val="28"/>
        </w:rPr>
        <w:t>郑州关区各隶属海关、特殊监管区域与空港口岸及莆田铁路口岸之间联动作业存在以下亟待解决的问题：</w:t>
      </w:r>
    </w:p>
    <w:p>
      <w:pPr>
        <w:pStyle w:val="13"/>
        <w:ind w:firstLine="644" w:firstLineChars="230"/>
        <w:rPr>
          <w:rFonts w:hint="eastAsia" w:ascii="仿宋_GB2312" w:hAnsi="微软雅黑" w:eastAsia="仿宋_GB2312"/>
          <w:sz w:val="28"/>
          <w:szCs w:val="28"/>
        </w:rPr>
      </w:pPr>
      <w:r>
        <w:rPr>
          <w:rFonts w:hint="eastAsia" w:ascii="仿宋_GB2312" w:hAnsi="微软雅黑" w:eastAsia="仿宋_GB2312"/>
          <w:sz w:val="28"/>
          <w:szCs w:val="28"/>
        </w:rPr>
        <w:t>1)通关手续烦琐。两地海关之间货物监管必须采用“关区内转关模式”，即两次接单、两次放行、多次转关的作业流程。</w:t>
      </w:r>
    </w:p>
    <w:p>
      <w:pPr>
        <w:pStyle w:val="13"/>
        <w:ind w:firstLine="644" w:firstLineChars="230"/>
        <w:rPr>
          <w:rFonts w:hint="eastAsia" w:ascii="仿宋_GB2312" w:hAnsi="微软雅黑" w:eastAsia="仿宋_GB2312"/>
          <w:sz w:val="28"/>
          <w:szCs w:val="28"/>
        </w:rPr>
      </w:pPr>
      <w:r>
        <w:rPr>
          <w:rFonts w:hint="eastAsia" w:ascii="仿宋_GB2312" w:hAnsi="微软雅黑" w:eastAsia="仿宋_GB2312"/>
          <w:sz w:val="28"/>
          <w:szCs w:val="28"/>
        </w:rPr>
        <w:t>2)通关效率不高。关区内转关的作业流程，对企业的通关成本和时效以及口岸物流的集散速度都有较大影响；对关区海关之间也存在重复作业，审单、查验结果不能充分互认的问题。</w:t>
      </w:r>
    </w:p>
    <w:p>
      <w:pPr>
        <w:pStyle w:val="13"/>
        <w:ind w:firstLine="644" w:firstLineChars="230"/>
        <w:rPr>
          <w:rFonts w:hint="eastAsia" w:ascii="仿宋_GB2312" w:hAnsi="微软雅黑" w:eastAsia="仿宋_GB2312"/>
          <w:sz w:val="28"/>
          <w:szCs w:val="28"/>
        </w:rPr>
      </w:pPr>
      <w:r>
        <w:rPr>
          <w:rFonts w:hint="eastAsia" w:ascii="仿宋_GB2312" w:hAnsi="微软雅黑" w:eastAsia="仿宋_GB2312"/>
          <w:sz w:val="28"/>
          <w:szCs w:val="28"/>
        </w:rPr>
        <w:t>3)近几年来，随着郑州航空港经济实验区的建设、郑新欧国际班列的运行，郑州机场、郑州莆田铁路中心站进出口业务量猛增，亟须充分利用科技手段，开发相应通关物流信息平台，解决郑州海关物流监控和监管中遇到的一系列问题。</w:t>
      </w:r>
    </w:p>
    <w:p>
      <w:pPr>
        <w:pStyle w:val="10"/>
        <w:jc w:val="left"/>
        <w:rPr>
          <w:rFonts w:hint="eastAsia" w:ascii="仿宋_GB2312" w:hAnsi="微软雅黑" w:eastAsia="仿宋_GB2312"/>
          <w:sz w:val="36"/>
          <w:szCs w:val="36"/>
        </w:rPr>
      </w:pPr>
      <w:bookmarkStart w:id="6" w:name="_Toc414368864"/>
      <w:bookmarkStart w:id="7" w:name="_Toc18238"/>
      <w:r>
        <w:rPr>
          <w:rFonts w:hint="eastAsia" w:ascii="仿宋_GB2312" w:hAnsi="微软雅黑" w:eastAsia="仿宋_GB2312"/>
          <w:sz w:val="36"/>
          <w:szCs w:val="36"/>
        </w:rPr>
        <w:t>1.3 关区大通关建设基本内容及项目目标</w:t>
      </w:r>
      <w:bookmarkEnd w:id="6"/>
      <w:bookmarkEnd w:id="7"/>
    </w:p>
    <w:p>
      <w:pPr>
        <w:pStyle w:val="13"/>
        <w:ind w:firstLine="644" w:firstLineChars="230"/>
        <w:rPr>
          <w:rFonts w:hint="eastAsia" w:ascii="仿宋_GB2312" w:hAnsi="微软雅黑" w:eastAsia="仿宋_GB2312"/>
          <w:sz w:val="28"/>
          <w:szCs w:val="28"/>
        </w:rPr>
      </w:pPr>
      <w:r>
        <w:rPr>
          <w:rFonts w:hint="eastAsia" w:ascii="仿宋_GB2312" w:hAnsi="微软雅黑" w:eastAsia="仿宋_GB2312"/>
          <w:sz w:val="28"/>
          <w:szCs w:val="28"/>
        </w:rPr>
        <w:t>以开放关区两位舱单匹配及关区内多点报关为原理，建立关区内各隶属海关、特殊监管区域及场所围绕关区两个主要进出口岸即郑铁东站口岸、新郑机场口岸进行“区港联动”、 “区铁联动”、“多点报关”等新型通关方式，同时衔接跨关区的转关信息，取消关区内货物转关及二次转关，实现郑州关区内进出口通关货物的“一次申报、一次查验、一次放行”。</w:t>
      </w:r>
    </w:p>
    <w:p>
      <w:pPr>
        <w:spacing w:after="156" w:afterLines="50" w:line="360" w:lineRule="auto"/>
        <w:jc w:val="left"/>
        <w:rPr>
          <w:rFonts w:hint="eastAsia" w:ascii="仿宋_GB2312" w:hAnsi="微软雅黑" w:eastAsia="仿宋_GB2312"/>
          <w:sz w:val="28"/>
          <w:szCs w:val="28"/>
        </w:rPr>
      </w:pPr>
      <w:r>
        <w:rPr>
          <w:rFonts w:hint="eastAsia" w:ascii="仿宋_GB2312" w:hAnsi="微软雅黑" w:eastAsia="仿宋_GB2312"/>
          <w:sz w:val="28"/>
          <w:szCs w:val="28"/>
        </w:rPr>
        <w:t xml:space="preserve">    同时通过建设监管场所电子化管理、智能卡口及卡口联网系统，实现关区内通关物流监管全信息化管理。</w:t>
      </w:r>
    </w:p>
    <w:p>
      <w:pPr>
        <w:pStyle w:val="10"/>
        <w:jc w:val="left"/>
        <w:rPr>
          <w:rFonts w:hint="eastAsia" w:ascii="仿宋_GB2312" w:hAnsi="微软雅黑" w:eastAsia="仿宋_GB2312"/>
          <w:sz w:val="36"/>
          <w:szCs w:val="36"/>
        </w:rPr>
      </w:pPr>
      <w:bookmarkStart w:id="8" w:name="_Toc23190"/>
      <w:bookmarkStart w:id="9" w:name="_Toc414368865"/>
      <w:r>
        <w:rPr>
          <w:rFonts w:hint="eastAsia" w:ascii="仿宋_GB2312" w:hAnsi="微软雅黑" w:eastAsia="仿宋_GB2312"/>
          <w:sz w:val="36"/>
          <w:szCs w:val="36"/>
        </w:rPr>
        <w:t>1.4 通关一体化建设系统模块</w:t>
      </w:r>
      <w:bookmarkEnd w:id="8"/>
      <w:bookmarkEnd w:id="9"/>
    </w:p>
    <w:p>
      <w:pPr>
        <w:jc w:val="center"/>
        <w:rPr>
          <w:rFonts w:hint="eastAsia" w:ascii="仿宋_GB2312" w:hAnsi="微软雅黑" w:eastAsia="仿宋_GB2312"/>
          <w:sz w:val="28"/>
          <w:szCs w:val="28"/>
        </w:rPr>
      </w:pPr>
      <w:r>
        <w:rPr>
          <w:rFonts w:hint="eastAsia" w:ascii="仿宋_GB2312" w:hAnsi="微软雅黑" w:eastAsia="仿宋_GB2312"/>
          <w:sz w:val="28"/>
          <w:szCs w:val="28"/>
        </w:rPr>
        <w:drawing>
          <wp:inline distT="0" distB="0" distL="114300" distR="114300">
            <wp:extent cx="4888865" cy="3806825"/>
            <wp:effectExtent l="0" t="0" r="6985" b="317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5"/>
                    <a:stretch>
                      <a:fillRect/>
                    </a:stretch>
                  </pic:blipFill>
                  <pic:spPr>
                    <a:xfrm>
                      <a:off x="0" y="0"/>
                      <a:ext cx="4888865" cy="3806825"/>
                    </a:xfrm>
                    <a:prstGeom prst="rect">
                      <a:avLst/>
                    </a:prstGeom>
                    <a:noFill/>
                    <a:ln w="9525">
                      <a:noFill/>
                    </a:ln>
                  </pic:spPr>
                </pic:pic>
              </a:graphicData>
            </a:graphic>
          </wp:inline>
        </w:drawing>
      </w:r>
    </w:p>
    <w:p>
      <w:pPr>
        <w:rPr>
          <w:rFonts w:hint="eastAsia" w:ascii="仿宋_GB2312" w:hAnsi="微软雅黑" w:eastAsia="仿宋_GB2312"/>
          <w:sz w:val="28"/>
          <w:szCs w:val="28"/>
        </w:rPr>
      </w:pPr>
    </w:p>
    <w:p>
      <w:pPr>
        <w:spacing w:line="360" w:lineRule="auto"/>
        <w:ind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本平台依托先进的科学技术，结合郑州关区的特点，研制开发出有郑州海关特色的辅助管理系统-通关一体化平台。本平台主要包含以下内容：</w:t>
      </w:r>
    </w:p>
    <w:p>
      <w:pPr>
        <w:numPr>
          <w:ilvl w:val="0"/>
          <w:numId w:val="2"/>
        </w:numPr>
        <w:spacing w:line="360" w:lineRule="auto"/>
        <w:rPr>
          <w:rFonts w:hint="eastAsia" w:ascii="仿宋_GB2312" w:hAnsi="微软雅黑" w:eastAsia="仿宋_GB2312"/>
          <w:sz w:val="28"/>
          <w:szCs w:val="28"/>
        </w:rPr>
      </w:pPr>
      <w:r>
        <w:rPr>
          <w:rFonts w:hint="eastAsia" w:ascii="仿宋_GB2312" w:hAnsi="微软雅黑" w:eastAsia="仿宋_GB2312"/>
          <w:sz w:val="28"/>
          <w:szCs w:val="28"/>
        </w:rPr>
        <w:t>舱单转关单查询分析系统</w:t>
      </w:r>
    </w:p>
    <w:p>
      <w:pPr>
        <w:numPr>
          <w:ilvl w:val="0"/>
          <w:numId w:val="2"/>
        </w:numPr>
        <w:spacing w:line="360" w:lineRule="auto"/>
        <w:rPr>
          <w:rFonts w:hint="eastAsia" w:ascii="仿宋_GB2312" w:hAnsi="微软雅黑" w:eastAsia="仿宋_GB2312"/>
          <w:sz w:val="28"/>
          <w:szCs w:val="28"/>
        </w:rPr>
      </w:pPr>
      <w:r>
        <w:rPr>
          <w:rFonts w:hint="eastAsia" w:ascii="仿宋_GB2312" w:hAnsi="微软雅黑" w:eastAsia="仿宋_GB2312"/>
          <w:sz w:val="28"/>
          <w:szCs w:val="28"/>
        </w:rPr>
        <w:t>监管场所系统</w:t>
      </w:r>
    </w:p>
    <w:p>
      <w:pPr>
        <w:numPr>
          <w:ilvl w:val="0"/>
          <w:numId w:val="2"/>
        </w:numPr>
        <w:spacing w:line="360" w:lineRule="auto"/>
        <w:rPr>
          <w:rFonts w:hint="eastAsia" w:ascii="仿宋_GB2312" w:hAnsi="微软雅黑" w:eastAsia="仿宋_GB2312"/>
          <w:sz w:val="28"/>
          <w:szCs w:val="28"/>
        </w:rPr>
      </w:pPr>
      <w:r>
        <w:rPr>
          <w:rFonts w:hint="eastAsia" w:ascii="仿宋_GB2312" w:hAnsi="微软雅黑" w:eastAsia="仿宋_GB2312"/>
          <w:sz w:val="28"/>
          <w:szCs w:val="28"/>
        </w:rPr>
        <w:t>备案管理系统</w:t>
      </w:r>
    </w:p>
    <w:p>
      <w:pPr>
        <w:numPr>
          <w:ilvl w:val="0"/>
          <w:numId w:val="2"/>
        </w:numPr>
        <w:spacing w:line="360" w:lineRule="auto"/>
        <w:rPr>
          <w:rFonts w:hint="eastAsia" w:ascii="仿宋_GB2312" w:hAnsi="微软雅黑" w:eastAsia="仿宋_GB2312"/>
          <w:sz w:val="28"/>
          <w:szCs w:val="28"/>
        </w:rPr>
      </w:pPr>
      <w:r>
        <w:rPr>
          <w:rFonts w:hint="eastAsia" w:ascii="仿宋_GB2312" w:hAnsi="微软雅黑" w:eastAsia="仿宋_GB2312"/>
          <w:sz w:val="28"/>
          <w:szCs w:val="28"/>
        </w:rPr>
        <w:t>智能卡口系统</w:t>
      </w:r>
    </w:p>
    <w:p>
      <w:pPr>
        <w:numPr>
          <w:ilvl w:val="0"/>
          <w:numId w:val="2"/>
        </w:numPr>
        <w:spacing w:line="360" w:lineRule="auto"/>
        <w:rPr>
          <w:rFonts w:hint="eastAsia" w:ascii="仿宋_GB2312" w:hAnsi="微软雅黑" w:eastAsia="仿宋_GB2312"/>
          <w:sz w:val="28"/>
          <w:szCs w:val="28"/>
        </w:rPr>
      </w:pPr>
      <w:r>
        <w:rPr>
          <w:rFonts w:hint="eastAsia" w:ascii="仿宋_GB2312" w:hAnsi="微软雅黑" w:eastAsia="仿宋_GB2312"/>
          <w:sz w:val="28"/>
          <w:szCs w:val="28"/>
        </w:rPr>
        <w:t>在途监管系统</w:t>
      </w:r>
    </w:p>
    <w:p>
      <w:pPr>
        <w:numPr>
          <w:ilvl w:val="0"/>
          <w:numId w:val="2"/>
        </w:numPr>
        <w:spacing w:line="360" w:lineRule="auto"/>
        <w:rPr>
          <w:rFonts w:hint="eastAsia" w:ascii="仿宋_GB2312" w:hAnsi="微软雅黑" w:eastAsia="仿宋_GB2312"/>
          <w:sz w:val="28"/>
          <w:szCs w:val="28"/>
        </w:rPr>
      </w:pPr>
      <w:r>
        <w:rPr>
          <w:rFonts w:hint="eastAsia" w:ascii="仿宋_GB2312" w:hAnsi="微软雅黑" w:eastAsia="仿宋_GB2312"/>
          <w:sz w:val="28"/>
          <w:szCs w:val="28"/>
        </w:rPr>
        <w:t>联动业务（区港、关港）</w:t>
      </w:r>
    </w:p>
    <w:p>
      <w:pPr>
        <w:numPr>
          <w:ilvl w:val="0"/>
          <w:numId w:val="2"/>
        </w:numPr>
        <w:spacing w:line="360" w:lineRule="auto"/>
        <w:rPr>
          <w:rFonts w:hint="eastAsia" w:ascii="仿宋_GB2312" w:hAnsi="微软雅黑" w:eastAsia="仿宋_GB2312"/>
          <w:sz w:val="28"/>
          <w:szCs w:val="28"/>
        </w:rPr>
      </w:pPr>
      <w:r>
        <w:rPr>
          <w:rFonts w:hint="eastAsia" w:ascii="仿宋_GB2312" w:hAnsi="微软雅黑" w:eastAsia="仿宋_GB2312"/>
          <w:sz w:val="28"/>
          <w:szCs w:val="28"/>
        </w:rPr>
        <w:t>多点报关、口岸验放功能</w:t>
      </w:r>
    </w:p>
    <w:p>
      <w:pPr>
        <w:numPr>
          <w:ilvl w:val="0"/>
          <w:numId w:val="2"/>
        </w:numPr>
        <w:spacing w:line="360" w:lineRule="auto"/>
        <w:rPr>
          <w:rFonts w:hint="eastAsia" w:ascii="仿宋_GB2312" w:hAnsi="微软雅黑" w:eastAsia="仿宋_GB2312"/>
          <w:sz w:val="28"/>
          <w:szCs w:val="28"/>
        </w:rPr>
      </w:pPr>
      <w:r>
        <w:rPr>
          <w:rFonts w:hint="eastAsia" w:ascii="仿宋_GB2312" w:hAnsi="微软雅黑" w:eastAsia="仿宋_GB2312"/>
          <w:sz w:val="28"/>
          <w:szCs w:val="28"/>
        </w:rPr>
        <w:t>舱单信息、转关单信息、报关单信息、待放行列表等信息订阅</w:t>
      </w:r>
    </w:p>
    <w:p>
      <w:pPr>
        <w:numPr>
          <w:ilvl w:val="0"/>
          <w:numId w:val="2"/>
        </w:numPr>
        <w:spacing w:line="360" w:lineRule="auto"/>
        <w:rPr>
          <w:rFonts w:hint="eastAsia" w:ascii="仿宋_GB2312" w:hAnsi="微软雅黑" w:eastAsia="仿宋_GB2312"/>
          <w:sz w:val="28"/>
          <w:szCs w:val="28"/>
        </w:rPr>
      </w:pPr>
      <w:r>
        <w:rPr>
          <w:rFonts w:hint="eastAsia" w:ascii="仿宋_GB2312" w:hAnsi="微软雅黑" w:eastAsia="仿宋_GB2312"/>
          <w:sz w:val="28"/>
          <w:szCs w:val="28"/>
        </w:rPr>
        <w:t>查验货物管理、扣留货物管理</w:t>
      </w:r>
    </w:p>
    <w:p>
      <w:pPr>
        <w:numPr>
          <w:ilvl w:val="0"/>
          <w:numId w:val="2"/>
        </w:numPr>
        <w:spacing w:line="360" w:lineRule="auto"/>
        <w:rPr>
          <w:rFonts w:hint="eastAsia" w:ascii="仿宋_GB2312" w:hAnsi="微软雅黑" w:eastAsia="仿宋_GB2312"/>
          <w:sz w:val="28"/>
          <w:szCs w:val="28"/>
        </w:rPr>
      </w:pPr>
      <w:r>
        <w:rPr>
          <w:rFonts w:hint="eastAsia" w:ascii="仿宋_GB2312" w:hAnsi="微软雅黑" w:eastAsia="仿宋_GB2312"/>
          <w:sz w:val="28"/>
          <w:szCs w:val="28"/>
        </w:rPr>
        <w:t>过转通货物进出港信息</w:t>
      </w:r>
    </w:p>
    <w:p>
      <w:pPr>
        <w:numPr>
          <w:ilvl w:val="0"/>
          <w:numId w:val="2"/>
        </w:numPr>
        <w:spacing w:line="360" w:lineRule="auto"/>
        <w:rPr>
          <w:rFonts w:hint="eastAsia" w:ascii="仿宋_GB2312" w:hAnsi="微软雅黑" w:eastAsia="仿宋_GB2312"/>
          <w:sz w:val="28"/>
          <w:szCs w:val="28"/>
        </w:rPr>
      </w:pPr>
      <w:r>
        <w:rPr>
          <w:rFonts w:hint="eastAsia" w:ascii="仿宋_GB2312" w:hAnsi="微软雅黑" w:eastAsia="仿宋_GB2312"/>
          <w:sz w:val="28"/>
          <w:szCs w:val="28"/>
        </w:rPr>
        <w:t>仓储出入库信息对接，展示电子信息。</w:t>
      </w:r>
    </w:p>
    <w:p>
      <w:pPr>
        <w:numPr>
          <w:ilvl w:val="0"/>
          <w:numId w:val="2"/>
        </w:numPr>
        <w:spacing w:line="360" w:lineRule="auto"/>
        <w:rPr>
          <w:rFonts w:hint="eastAsia" w:ascii="仿宋_GB2312" w:hAnsi="微软雅黑" w:eastAsia="仿宋_GB2312"/>
          <w:sz w:val="28"/>
          <w:szCs w:val="28"/>
        </w:rPr>
      </w:pPr>
      <w:r>
        <w:rPr>
          <w:rFonts w:hint="eastAsia" w:ascii="仿宋_GB2312" w:hAnsi="微软雅黑" w:eastAsia="仿宋_GB2312"/>
          <w:sz w:val="28"/>
          <w:szCs w:val="28"/>
        </w:rPr>
        <w:t>属地报关、属地放行业务</w:t>
      </w:r>
    </w:p>
    <w:p>
      <w:pPr>
        <w:ind w:left="420" w:firstLine="280" w:firstLineChars="100"/>
        <w:rPr>
          <w:rFonts w:hint="eastAsia" w:ascii="仿宋_GB2312" w:hAnsi="微软雅黑" w:eastAsia="仿宋_GB2312"/>
          <w:sz w:val="28"/>
          <w:szCs w:val="28"/>
        </w:rPr>
      </w:pPr>
      <w:r>
        <w:rPr>
          <w:rFonts w:hint="eastAsia" w:ascii="仿宋_GB2312" w:hAnsi="微软雅黑" w:eastAsia="仿宋_GB2312"/>
          <w:sz w:val="28"/>
          <w:szCs w:val="28"/>
        </w:rPr>
        <w:t>　</w:t>
      </w:r>
    </w:p>
    <w:p>
      <w:pPr>
        <w:pStyle w:val="10"/>
        <w:jc w:val="left"/>
        <w:rPr>
          <w:rFonts w:hint="eastAsia" w:ascii="仿宋_GB2312" w:hAnsi="微软雅黑" w:eastAsia="仿宋_GB2312"/>
          <w:sz w:val="36"/>
          <w:szCs w:val="36"/>
        </w:rPr>
      </w:pPr>
      <w:bookmarkStart w:id="10" w:name="_Toc414368886"/>
      <w:bookmarkStart w:id="11" w:name="_Toc29562"/>
      <w:r>
        <w:rPr>
          <w:rFonts w:hint="eastAsia" w:ascii="仿宋_GB2312" w:hAnsi="微软雅黑" w:eastAsia="仿宋_GB2312"/>
          <w:sz w:val="36"/>
          <w:szCs w:val="36"/>
        </w:rPr>
        <w:t>1.5 业务功能描述</w:t>
      </w:r>
      <w:bookmarkEnd w:id="10"/>
      <w:bookmarkEnd w:id="11"/>
    </w:p>
    <w:p>
      <w:pPr>
        <w:pStyle w:val="14"/>
        <w:spacing w:before="0" w:after="0"/>
        <w:ind w:firstLine="560" w:firstLineChars="200"/>
        <w:rPr>
          <w:rFonts w:hint="eastAsia" w:ascii="仿宋_GB2312" w:hAnsi="微软雅黑" w:eastAsia="仿宋_GB2312"/>
          <w:szCs w:val="28"/>
        </w:rPr>
      </w:pPr>
      <w:r>
        <w:rPr>
          <w:rFonts w:hint="eastAsia" w:ascii="仿宋_GB2312" w:hAnsi="微软雅黑" w:eastAsia="仿宋_GB2312"/>
          <w:szCs w:val="28"/>
        </w:rPr>
        <w:t>本方案仅从应用功能架构出发，对通关一体化平台各子系统的功能模块划分做简要说明。</w:t>
      </w:r>
    </w:p>
    <w:p>
      <w:pPr>
        <w:pStyle w:val="15"/>
        <w:ind w:firstLineChars="0"/>
        <w:jc w:val="center"/>
        <w:rPr>
          <w:rFonts w:hint="eastAsia" w:ascii="仿宋_GB2312" w:hAnsi="微软雅黑" w:eastAsia="仿宋_GB2312"/>
          <w:sz w:val="28"/>
          <w:szCs w:val="28"/>
        </w:rPr>
      </w:pPr>
      <w:r>
        <w:rPr>
          <w:rFonts w:hint="eastAsia" w:ascii="仿宋_GB2312" w:hAnsi="微软雅黑" w:eastAsia="仿宋_GB2312"/>
          <w:sz w:val="28"/>
          <w:szCs w:val="28"/>
        </w:rPr>
        <w:drawing>
          <wp:inline distT="0" distB="0" distL="114300" distR="114300">
            <wp:extent cx="5270500" cy="2387600"/>
            <wp:effectExtent l="0" t="0" r="6350" b="1270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6"/>
                    <a:stretch>
                      <a:fillRect/>
                    </a:stretch>
                  </pic:blipFill>
                  <pic:spPr>
                    <a:xfrm>
                      <a:off x="0" y="0"/>
                      <a:ext cx="5270500" cy="2387600"/>
                    </a:xfrm>
                    <a:prstGeom prst="rect">
                      <a:avLst/>
                    </a:prstGeom>
                    <a:noFill/>
                    <a:ln w="9525">
                      <a:noFill/>
                    </a:ln>
                  </pic:spPr>
                </pic:pic>
              </a:graphicData>
            </a:graphic>
          </wp:inline>
        </w:drawing>
      </w:r>
    </w:p>
    <w:p>
      <w:pPr>
        <w:spacing w:line="360" w:lineRule="auto"/>
        <w:ind w:firstLine="537" w:firstLineChars="192"/>
        <w:rPr>
          <w:rFonts w:hint="eastAsia" w:ascii="仿宋_GB2312" w:hAnsi="微软雅黑" w:eastAsia="仿宋_GB2312"/>
          <w:sz w:val="28"/>
          <w:szCs w:val="28"/>
        </w:rPr>
      </w:pPr>
      <w:r>
        <w:rPr>
          <w:rFonts w:hint="eastAsia" w:ascii="仿宋_GB2312" w:hAnsi="微软雅黑" w:eastAsia="仿宋_GB2312"/>
          <w:sz w:val="28"/>
          <w:szCs w:val="28"/>
        </w:rPr>
        <w:t xml:space="preserve"> 各个系统备案管理包括基础信息的管理和数据传输交换功能。一是车辆信息备案；二是车架信息备案；三是IC卡信息维护；四是集装箱类型维护；五电子关锁；六是监管袋，备案信息通关信息传输交换实现一地备案全关通用。</w:t>
      </w:r>
    </w:p>
    <w:p>
      <w:pPr>
        <w:pStyle w:val="10"/>
        <w:jc w:val="left"/>
        <w:rPr>
          <w:rFonts w:hint="eastAsia" w:ascii="仿宋_GB2312" w:hAnsi="微软雅黑" w:eastAsia="仿宋_GB2312"/>
          <w:sz w:val="36"/>
          <w:szCs w:val="36"/>
        </w:rPr>
      </w:pPr>
      <w:bookmarkStart w:id="12" w:name="_Toc25840"/>
      <w:r>
        <w:rPr>
          <w:rFonts w:hint="eastAsia" w:ascii="仿宋_GB2312" w:hAnsi="微软雅黑" w:eastAsia="仿宋_GB2312"/>
          <w:sz w:val="36"/>
          <w:szCs w:val="36"/>
        </w:rPr>
        <w:t>二、跨境电商场站管理系统</w:t>
      </w:r>
      <w:bookmarkEnd w:id="12"/>
    </w:p>
    <w:p>
      <w:pPr>
        <w:pStyle w:val="10"/>
        <w:jc w:val="left"/>
        <w:rPr>
          <w:rFonts w:hint="eastAsia" w:ascii="仿宋_GB2312" w:hAnsi="微软雅黑" w:eastAsia="仿宋_GB2312"/>
          <w:sz w:val="36"/>
          <w:szCs w:val="36"/>
        </w:rPr>
      </w:pPr>
      <w:bookmarkStart w:id="13" w:name="_Toc420183011"/>
      <w:bookmarkStart w:id="14" w:name="_Toc416868418"/>
      <w:bookmarkStart w:id="15" w:name="_Toc1983"/>
      <w:r>
        <w:rPr>
          <w:rFonts w:hint="eastAsia" w:ascii="仿宋_GB2312" w:hAnsi="微软雅黑" w:eastAsia="仿宋_GB2312"/>
          <w:sz w:val="36"/>
          <w:szCs w:val="36"/>
        </w:rPr>
        <w:t xml:space="preserve">2.1 </w:t>
      </w:r>
      <w:bookmarkEnd w:id="13"/>
      <w:bookmarkEnd w:id="14"/>
      <w:r>
        <w:rPr>
          <w:rFonts w:hint="eastAsia" w:ascii="仿宋_GB2312" w:hAnsi="微软雅黑" w:eastAsia="仿宋_GB2312"/>
          <w:sz w:val="36"/>
          <w:szCs w:val="36"/>
        </w:rPr>
        <w:t>项目目标</w:t>
      </w:r>
      <w:bookmarkEnd w:id="15"/>
    </w:p>
    <w:p>
      <w:pPr>
        <w:autoSpaceDE w:val="0"/>
        <w:autoSpaceDN w:val="0"/>
        <w:adjustRightInd w:val="0"/>
        <w:spacing w:line="360" w:lineRule="auto"/>
        <w:ind w:firstLine="420"/>
        <w:rPr>
          <w:rFonts w:hint="eastAsia" w:ascii="仿宋_GB2312" w:eastAsia="仿宋_GB2312" w:cs="宋体"/>
          <w:sz w:val="28"/>
          <w:szCs w:val="28"/>
        </w:rPr>
      </w:pPr>
      <w:r>
        <w:rPr>
          <w:rFonts w:hint="eastAsia" w:ascii="仿宋_GB2312" w:eastAsia="仿宋_GB2312" w:cs="宋体"/>
          <w:sz w:val="28"/>
          <w:szCs w:val="28"/>
        </w:rPr>
        <w:t>为推进跨境贸易电子商务试点工作，配合完成许昌市跨境贸易电子商务综合服务平台建设，须建立适应快件包裹通关物流的跨境贸易电子商务综合服务平台。该信息系统能够实现仓库（场站）操作作业全程电子化，通过联网实现海关监管要求，便利海关监管，提高通关效率，同时能够通过数据的反馈实现全程物流跟踪，提高服务质量。</w:t>
      </w:r>
    </w:p>
    <w:p>
      <w:pPr>
        <w:autoSpaceDE w:val="0"/>
        <w:autoSpaceDN w:val="0"/>
        <w:adjustRightInd w:val="0"/>
        <w:spacing w:line="360" w:lineRule="auto"/>
        <w:ind w:firstLine="420"/>
        <w:rPr>
          <w:rFonts w:hint="eastAsia" w:ascii="仿宋_GB2312" w:eastAsia="仿宋_GB2312" w:cs="宋体"/>
        </w:rPr>
      </w:pPr>
      <w:r>
        <w:rPr>
          <w:rFonts w:hint="eastAsia" w:ascii="仿宋_GB2312" w:eastAsia="仿宋_GB2312" w:cs="宋体"/>
          <w:sz w:val="28"/>
          <w:szCs w:val="28"/>
        </w:rPr>
        <w:t>系统是物流监控信息化管理系统的重要组成部分，通过实现海关，国检与监管场所等部门的计算机联网和实时数据交换，及时有效地采集物流信息，与物流监控设备有机结合，对监管货物进行跟踪控制，实时将海关有关电子指令传输到监管场所经营人、运输工具负责人等管理相对人，从而实现海关对进出口货物的严密监管和进出境物流的顺畅流动，具有良好扩展空间的信息系统，为企业信息化建设构筑良好的软件环境，增强企业竞争能力。</w:t>
      </w:r>
    </w:p>
    <w:p>
      <w:pPr>
        <w:rPr>
          <w:rFonts w:hint="eastAsia" w:ascii="仿宋_GB2312" w:eastAsia="仿宋_GB2312"/>
        </w:rPr>
      </w:pPr>
    </w:p>
    <w:p>
      <w:pPr>
        <w:pStyle w:val="10"/>
        <w:jc w:val="left"/>
        <w:rPr>
          <w:rFonts w:ascii="仿宋_GB2312" w:hAnsi="微软雅黑" w:eastAsia="仿宋_GB2312"/>
          <w:sz w:val="36"/>
          <w:szCs w:val="36"/>
        </w:rPr>
      </w:pPr>
      <w:bookmarkStart w:id="16" w:name="_Toc426484645"/>
      <w:bookmarkStart w:id="17" w:name="_Toc409884670"/>
      <w:bookmarkStart w:id="18" w:name="_Toc30462"/>
      <w:bookmarkStart w:id="19" w:name="_Toc456446806"/>
      <w:bookmarkStart w:id="20" w:name="_Toc351629137"/>
      <w:r>
        <w:rPr>
          <w:rFonts w:hint="eastAsia" w:ascii="仿宋_GB2312" w:hAnsi="微软雅黑" w:eastAsia="仿宋_GB2312"/>
          <w:sz w:val="36"/>
          <w:szCs w:val="36"/>
        </w:rPr>
        <w:t>2.2平台功能设计</w:t>
      </w:r>
      <w:bookmarkEnd w:id="16"/>
      <w:bookmarkEnd w:id="17"/>
      <w:bookmarkEnd w:id="18"/>
      <w:bookmarkEnd w:id="19"/>
      <w:bookmarkEnd w:id="20"/>
    </w:p>
    <w:tbl>
      <w:tblPr>
        <w:tblStyle w:val="12"/>
        <w:tblW w:w="9185" w:type="dxa"/>
        <w:tblInd w:w="10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pct10" w:color="auto" w:fill="auto"/>
        <w:tblLayout w:type="fixed"/>
        <w:tblCellMar>
          <w:top w:w="0" w:type="dxa"/>
          <w:left w:w="108" w:type="dxa"/>
          <w:bottom w:w="0" w:type="dxa"/>
          <w:right w:w="108" w:type="dxa"/>
        </w:tblCellMar>
      </w:tblPr>
      <w:tblGrid>
        <w:gridCol w:w="1265"/>
        <w:gridCol w:w="1260"/>
        <w:gridCol w:w="1800"/>
        <w:gridCol w:w="48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pct10" w:color="auto" w:fill="auto"/>
          <w:tblLayout w:type="fixed"/>
          <w:tblCellMar>
            <w:top w:w="0" w:type="dxa"/>
            <w:left w:w="108" w:type="dxa"/>
            <w:bottom w:w="0" w:type="dxa"/>
            <w:right w:w="108" w:type="dxa"/>
          </w:tblCellMar>
        </w:tblPrEx>
        <w:trPr>
          <w:trHeight w:val="353" w:hRule="atLeast"/>
        </w:trPr>
        <w:tc>
          <w:tcPr>
            <w:tcW w:w="1265" w:type="dxa"/>
            <w:tcBorders>
              <w:bottom w:val="single" w:color="auto" w:sz="4" w:space="0"/>
            </w:tcBorders>
            <w:shd w:val="pct10" w:color="auto" w:fill="auto"/>
            <w:vAlign w:val="center"/>
          </w:tcPr>
          <w:p>
            <w:pPr>
              <w:jc w:val="center"/>
              <w:rPr>
                <w:rFonts w:hint="eastAsia" w:ascii="仿宋_GB2312" w:hAnsi="仿宋" w:eastAsia="仿宋_GB2312"/>
                <w:b/>
                <w:bCs/>
              </w:rPr>
            </w:pPr>
            <w:r>
              <w:rPr>
                <w:rFonts w:hint="eastAsia" w:ascii="仿宋_GB2312" w:hAnsi="仿宋" w:eastAsia="仿宋_GB2312"/>
                <w:b/>
                <w:bCs/>
              </w:rPr>
              <w:t>系统</w:t>
            </w:r>
          </w:p>
        </w:tc>
        <w:tc>
          <w:tcPr>
            <w:tcW w:w="3060" w:type="dxa"/>
            <w:gridSpan w:val="2"/>
            <w:tcBorders>
              <w:bottom w:val="single" w:color="auto" w:sz="4" w:space="0"/>
            </w:tcBorders>
            <w:shd w:val="pct10" w:color="auto" w:fill="auto"/>
            <w:vAlign w:val="center"/>
          </w:tcPr>
          <w:p>
            <w:pPr>
              <w:jc w:val="center"/>
              <w:rPr>
                <w:rFonts w:hint="eastAsia" w:ascii="仿宋_GB2312" w:hAnsi="仿宋" w:eastAsia="仿宋_GB2312"/>
                <w:b/>
                <w:bCs/>
              </w:rPr>
            </w:pPr>
            <w:r>
              <w:rPr>
                <w:rFonts w:hint="eastAsia" w:ascii="仿宋_GB2312" w:hAnsi="仿宋" w:eastAsia="仿宋_GB2312"/>
                <w:b/>
                <w:bCs/>
              </w:rPr>
              <w:t>功能</w:t>
            </w:r>
          </w:p>
        </w:tc>
        <w:tc>
          <w:tcPr>
            <w:tcW w:w="4860" w:type="dxa"/>
            <w:tcBorders>
              <w:bottom w:val="single" w:color="auto" w:sz="4" w:space="0"/>
            </w:tcBorders>
            <w:shd w:val="pct10" w:color="auto" w:fill="auto"/>
            <w:vAlign w:val="center"/>
          </w:tcPr>
          <w:p>
            <w:pPr>
              <w:jc w:val="center"/>
              <w:rPr>
                <w:rFonts w:hint="eastAsia" w:ascii="仿宋_GB2312" w:hAnsi="仿宋" w:eastAsia="仿宋_GB2312"/>
                <w:b/>
                <w:bCs/>
              </w:rPr>
            </w:pPr>
            <w:r>
              <w:rPr>
                <w:rFonts w:hint="eastAsia" w:ascii="仿宋_GB2312" w:hAnsi="仿宋" w:eastAsia="仿宋_GB2312"/>
                <w:b/>
                <w:bCs/>
              </w:rPr>
              <w:t>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5" w:hRule="atLeast"/>
        </w:trPr>
        <w:tc>
          <w:tcPr>
            <w:tcW w:w="1265" w:type="dxa"/>
            <w:vMerge w:val="restart"/>
            <w:shd w:val="clear" w:color="auto" w:fill="FFFFFF"/>
            <w:vAlign w:val="center"/>
          </w:tcPr>
          <w:p>
            <w:pPr>
              <w:jc w:val="center"/>
              <w:rPr>
                <w:rFonts w:hint="eastAsia" w:ascii="仿宋_GB2312" w:eastAsia="仿宋_GB2312"/>
              </w:rPr>
            </w:pPr>
            <w:r>
              <w:rPr>
                <w:rFonts w:hint="eastAsia" w:ascii="仿宋_GB2312" w:eastAsia="仿宋_GB2312"/>
              </w:rPr>
              <w:t>跨境贸易电子商务场站管理系统</w:t>
            </w:r>
          </w:p>
        </w:tc>
        <w:tc>
          <w:tcPr>
            <w:tcW w:w="1260" w:type="dxa"/>
            <w:vMerge w:val="restart"/>
            <w:shd w:val="clear" w:color="auto" w:fill="FFFFFF"/>
            <w:vAlign w:val="center"/>
          </w:tcPr>
          <w:p>
            <w:pPr>
              <w:rPr>
                <w:rFonts w:hint="eastAsia" w:ascii="仿宋_GB2312" w:eastAsia="仿宋_GB2312"/>
              </w:rPr>
            </w:pPr>
            <w:r>
              <w:rPr>
                <w:rFonts w:hint="eastAsia" w:ascii="仿宋_GB2312" w:eastAsia="仿宋_GB2312"/>
              </w:rPr>
              <w:t>基础资料</w:t>
            </w:r>
          </w:p>
        </w:tc>
        <w:tc>
          <w:tcPr>
            <w:tcW w:w="1800" w:type="dxa"/>
            <w:shd w:val="clear" w:color="auto" w:fill="FFFFFF"/>
            <w:vAlign w:val="center"/>
          </w:tcPr>
          <w:p>
            <w:pPr>
              <w:jc w:val="center"/>
              <w:rPr>
                <w:rFonts w:hint="eastAsia" w:ascii="仿宋_GB2312" w:eastAsia="仿宋_GB2312"/>
              </w:rPr>
            </w:pPr>
            <w:r>
              <w:rPr>
                <w:rFonts w:hint="eastAsia" w:ascii="仿宋_GB2312" w:eastAsia="仿宋_GB2312"/>
              </w:rPr>
              <w:t>库位信息</w:t>
            </w:r>
          </w:p>
        </w:tc>
        <w:tc>
          <w:tcPr>
            <w:tcW w:w="4860" w:type="dxa"/>
            <w:shd w:val="clear" w:color="auto" w:fill="FFFFFF"/>
            <w:vAlign w:val="center"/>
          </w:tcPr>
          <w:p>
            <w:pPr>
              <w:rPr>
                <w:rFonts w:hint="eastAsia" w:ascii="仿宋_GB2312" w:eastAsia="仿宋_GB2312"/>
              </w:rPr>
            </w:pPr>
            <w:r>
              <w:rPr>
                <w:rFonts w:hint="eastAsia" w:ascii="仿宋_GB2312" w:eastAsia="仿宋_GB2312"/>
              </w:rPr>
              <w:t>维护仓库库位信息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5" w:hRule="atLeast"/>
        </w:trPr>
        <w:tc>
          <w:tcPr>
            <w:tcW w:w="1265" w:type="dxa"/>
            <w:vMerge w:val="continue"/>
            <w:shd w:val="clear" w:color="auto" w:fill="FFFFFF"/>
            <w:vAlign w:val="center"/>
          </w:tcPr>
          <w:p>
            <w:pPr>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jc w:val="center"/>
              <w:rPr>
                <w:rFonts w:hint="eastAsia" w:ascii="仿宋_GB2312" w:eastAsia="仿宋_GB2312"/>
              </w:rPr>
            </w:pPr>
            <w:r>
              <w:rPr>
                <w:rFonts w:hint="eastAsia" w:ascii="仿宋_GB2312" w:eastAsia="仿宋_GB2312"/>
              </w:rPr>
              <w:t>货物类型</w:t>
            </w:r>
          </w:p>
        </w:tc>
        <w:tc>
          <w:tcPr>
            <w:tcW w:w="4860" w:type="dxa"/>
            <w:shd w:val="clear" w:color="auto" w:fill="FFFFFF"/>
            <w:vAlign w:val="center"/>
          </w:tcPr>
          <w:p>
            <w:pPr>
              <w:rPr>
                <w:rFonts w:hint="eastAsia" w:ascii="仿宋_GB2312" w:eastAsia="仿宋_GB2312"/>
              </w:rPr>
            </w:pPr>
            <w:r>
              <w:rPr>
                <w:rFonts w:hint="eastAsia" w:ascii="仿宋_GB2312" w:eastAsia="仿宋_GB2312"/>
              </w:rPr>
              <w:t>维护货物类型信息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ind w:firstLine="420" w:firstLineChars="200"/>
              <w:rPr>
                <w:rFonts w:hint="eastAsia" w:ascii="仿宋_GB2312" w:eastAsia="仿宋_GB2312"/>
              </w:rPr>
            </w:pPr>
          </w:p>
        </w:tc>
        <w:tc>
          <w:tcPr>
            <w:tcW w:w="1800" w:type="dxa"/>
            <w:shd w:val="clear" w:color="auto" w:fill="FFFFFF"/>
            <w:vAlign w:val="center"/>
          </w:tcPr>
          <w:p>
            <w:pPr>
              <w:jc w:val="center"/>
              <w:rPr>
                <w:rFonts w:hint="eastAsia" w:ascii="仿宋_GB2312" w:eastAsia="仿宋_GB2312"/>
              </w:rPr>
            </w:pPr>
            <w:r>
              <w:rPr>
                <w:rFonts w:hint="eastAsia" w:ascii="仿宋_GB2312" w:eastAsia="仿宋_GB2312"/>
              </w:rPr>
              <w:t>包装信息</w:t>
            </w:r>
          </w:p>
        </w:tc>
        <w:tc>
          <w:tcPr>
            <w:tcW w:w="4860" w:type="dxa"/>
            <w:shd w:val="clear" w:color="auto" w:fill="FFFFFF"/>
            <w:vAlign w:val="center"/>
          </w:tcPr>
          <w:p>
            <w:pPr>
              <w:rPr>
                <w:rFonts w:hint="eastAsia" w:ascii="仿宋_GB2312" w:eastAsia="仿宋_GB2312"/>
              </w:rPr>
            </w:pPr>
            <w:r>
              <w:rPr>
                <w:rFonts w:hint="eastAsia" w:ascii="仿宋_GB2312" w:eastAsia="仿宋_GB2312"/>
              </w:rPr>
              <w:t>维护包装信息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ind w:firstLine="420" w:firstLineChars="200"/>
              <w:rPr>
                <w:rFonts w:hint="eastAsia" w:ascii="仿宋_GB2312" w:eastAsia="仿宋_GB2312"/>
              </w:rPr>
            </w:pPr>
          </w:p>
        </w:tc>
        <w:tc>
          <w:tcPr>
            <w:tcW w:w="1800" w:type="dxa"/>
            <w:shd w:val="clear" w:color="auto" w:fill="FFFFFF"/>
            <w:vAlign w:val="center"/>
          </w:tcPr>
          <w:p>
            <w:pPr>
              <w:jc w:val="center"/>
              <w:rPr>
                <w:rFonts w:hint="eastAsia" w:ascii="仿宋_GB2312" w:eastAsia="仿宋_GB2312"/>
              </w:rPr>
            </w:pPr>
            <w:r>
              <w:rPr>
                <w:rFonts w:hint="eastAsia" w:ascii="仿宋_GB2312" w:eastAsia="仿宋_GB2312"/>
              </w:rPr>
              <w:t>币别种类</w:t>
            </w:r>
          </w:p>
        </w:tc>
        <w:tc>
          <w:tcPr>
            <w:tcW w:w="4860" w:type="dxa"/>
            <w:shd w:val="clear" w:color="auto" w:fill="FFFFFF"/>
            <w:vAlign w:val="center"/>
          </w:tcPr>
          <w:p>
            <w:pPr>
              <w:rPr>
                <w:rFonts w:hint="eastAsia" w:ascii="仿宋_GB2312" w:eastAsia="仿宋_GB2312"/>
              </w:rPr>
            </w:pPr>
            <w:r>
              <w:rPr>
                <w:rFonts w:hint="eastAsia" w:ascii="仿宋_GB2312" w:eastAsia="仿宋_GB2312"/>
              </w:rPr>
              <w:t>维护币别种类信息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61"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shd w:val="clear" w:color="auto" w:fill="FFFFFF"/>
            <w:vAlign w:val="center"/>
          </w:tcPr>
          <w:p>
            <w:pPr>
              <w:widowControl/>
              <w:spacing w:before="100" w:beforeAutospacing="1" w:after="100" w:afterAutospacing="1" w:line="240" w:lineRule="atLeast"/>
              <w:jc w:val="center"/>
              <w:rPr>
                <w:rFonts w:hint="eastAsia" w:ascii="仿宋_GB2312" w:eastAsia="仿宋_GB2312" w:cs="宋体"/>
                <w:kern w:val="0"/>
              </w:rPr>
            </w:pPr>
            <w:r>
              <w:rPr>
                <w:rFonts w:hint="eastAsia" w:ascii="仿宋_GB2312" w:eastAsia="仿宋_GB2312" w:cs="宋体"/>
                <w:kern w:val="0"/>
              </w:rPr>
              <w:t>企业备案管理</w:t>
            </w:r>
          </w:p>
        </w:tc>
        <w:tc>
          <w:tcPr>
            <w:tcW w:w="1800" w:type="dxa"/>
            <w:shd w:val="clear" w:color="auto" w:fill="FFFFFF"/>
            <w:vAlign w:val="center"/>
          </w:tcPr>
          <w:p>
            <w:pPr>
              <w:widowControl/>
              <w:spacing w:before="100" w:beforeAutospacing="1" w:after="100" w:afterAutospacing="1" w:line="240" w:lineRule="atLeast"/>
              <w:jc w:val="center"/>
              <w:rPr>
                <w:rFonts w:hint="eastAsia" w:ascii="仿宋_GB2312" w:eastAsia="仿宋_GB2312" w:cs="宋体"/>
                <w:kern w:val="0"/>
              </w:rPr>
            </w:pPr>
            <w:r>
              <w:rPr>
                <w:rFonts w:hint="eastAsia" w:ascii="仿宋_GB2312" w:eastAsia="仿宋_GB2312" w:cs="宋体"/>
                <w:kern w:val="0"/>
              </w:rPr>
              <w:t>企业信息</w:t>
            </w:r>
          </w:p>
        </w:tc>
        <w:tc>
          <w:tcPr>
            <w:tcW w:w="4860" w:type="dxa"/>
            <w:shd w:val="clear" w:color="auto" w:fill="FFFFFF"/>
            <w:vAlign w:val="center"/>
          </w:tcPr>
          <w:p>
            <w:pPr>
              <w:widowControl/>
              <w:spacing w:before="100" w:beforeAutospacing="1" w:after="100" w:afterAutospacing="1" w:line="240" w:lineRule="atLeast"/>
              <w:rPr>
                <w:rFonts w:hint="eastAsia" w:ascii="仿宋_GB2312" w:eastAsia="仿宋_GB2312" w:cs="宋体"/>
                <w:kern w:val="0"/>
              </w:rPr>
            </w:pPr>
            <w:r>
              <w:rPr>
                <w:rFonts w:hint="eastAsia" w:ascii="仿宋_GB2312" w:eastAsia="仿宋_GB2312" w:cs="宋体"/>
                <w:kern w:val="0"/>
              </w:rPr>
              <w:t>维护和查询企业备案信息；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7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restart"/>
            <w:shd w:val="clear" w:color="auto" w:fill="FFFFFF"/>
            <w:vAlign w:val="center"/>
          </w:tcPr>
          <w:p>
            <w:pPr>
              <w:rPr>
                <w:rFonts w:hint="eastAsia" w:ascii="仿宋_GB2312" w:eastAsia="仿宋_GB2312"/>
              </w:rPr>
            </w:pPr>
            <w:r>
              <w:rPr>
                <w:rFonts w:hint="eastAsia" w:ascii="仿宋_GB2312" w:eastAsia="仿宋_GB2312"/>
              </w:rPr>
              <w:t>运单管理</w:t>
            </w:r>
          </w:p>
        </w:tc>
        <w:tc>
          <w:tcPr>
            <w:tcW w:w="1800" w:type="dxa"/>
            <w:shd w:val="clear" w:color="auto" w:fill="FFFFFF"/>
            <w:vAlign w:val="center"/>
          </w:tcPr>
          <w:p>
            <w:pPr>
              <w:jc w:val="center"/>
              <w:rPr>
                <w:rFonts w:hint="eastAsia" w:ascii="仿宋_GB2312" w:eastAsia="仿宋_GB2312"/>
              </w:rPr>
            </w:pPr>
            <w:r>
              <w:rPr>
                <w:rFonts w:hint="eastAsia" w:ascii="仿宋_GB2312" w:eastAsia="仿宋_GB2312"/>
              </w:rPr>
              <w:t>运单信息录入</w:t>
            </w:r>
          </w:p>
        </w:tc>
        <w:tc>
          <w:tcPr>
            <w:tcW w:w="4860" w:type="dxa"/>
            <w:shd w:val="clear" w:color="auto" w:fill="FFFFFF"/>
            <w:vAlign w:val="center"/>
          </w:tcPr>
          <w:p>
            <w:pPr>
              <w:rPr>
                <w:rFonts w:hint="eastAsia" w:ascii="仿宋_GB2312" w:eastAsia="仿宋_GB2312"/>
              </w:rPr>
            </w:pPr>
            <w:r>
              <w:rPr>
                <w:rFonts w:hint="eastAsia" w:ascii="仿宋_GB2312" w:eastAsia="仿宋_GB2312"/>
              </w:rPr>
              <w:t>录入运单信息，包括总运单，分运单信息，支持通过EXCEL模版导入。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7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jc w:val="center"/>
              <w:rPr>
                <w:rFonts w:hint="eastAsia" w:ascii="仿宋_GB2312" w:eastAsia="仿宋_GB2312"/>
              </w:rPr>
            </w:pPr>
            <w:r>
              <w:rPr>
                <w:rFonts w:hint="eastAsia" w:ascii="仿宋_GB2312" w:eastAsia="仿宋_GB2312"/>
              </w:rPr>
              <w:t>运单信息查询</w:t>
            </w:r>
          </w:p>
        </w:tc>
        <w:tc>
          <w:tcPr>
            <w:tcW w:w="4860" w:type="dxa"/>
            <w:shd w:val="clear" w:color="auto" w:fill="FFFFFF"/>
            <w:vAlign w:val="center"/>
          </w:tcPr>
          <w:p>
            <w:pPr>
              <w:rPr>
                <w:rFonts w:hint="eastAsia" w:ascii="仿宋_GB2312" w:eastAsia="仿宋_GB2312"/>
              </w:rPr>
            </w:pPr>
            <w:r>
              <w:rPr>
                <w:rFonts w:hint="eastAsia" w:ascii="仿宋_GB2312" w:eastAsia="仿宋_GB2312"/>
              </w:rPr>
              <w:t>查看已经维护的运单信息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7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restart"/>
            <w:shd w:val="clear" w:color="auto" w:fill="FFFFFF"/>
            <w:vAlign w:val="center"/>
          </w:tcPr>
          <w:p>
            <w:pPr>
              <w:rPr>
                <w:rFonts w:hint="eastAsia" w:ascii="仿宋_GB2312" w:eastAsia="仿宋_GB2312"/>
              </w:rPr>
            </w:pPr>
            <w:r>
              <w:rPr>
                <w:rFonts w:hint="eastAsia" w:ascii="仿宋_GB2312" w:eastAsia="仿宋_GB2312"/>
              </w:rPr>
              <w:t>总理货报告</w:t>
            </w:r>
          </w:p>
        </w:tc>
        <w:tc>
          <w:tcPr>
            <w:tcW w:w="1800" w:type="dxa"/>
            <w:shd w:val="clear" w:color="auto" w:fill="FFFFFF"/>
            <w:vAlign w:val="center"/>
          </w:tcPr>
          <w:p>
            <w:pPr>
              <w:jc w:val="center"/>
              <w:rPr>
                <w:rFonts w:hint="eastAsia" w:ascii="仿宋_GB2312" w:eastAsia="仿宋_GB2312"/>
              </w:rPr>
            </w:pPr>
            <w:r>
              <w:rPr>
                <w:rFonts w:hint="eastAsia" w:ascii="仿宋_GB2312" w:eastAsia="仿宋_GB2312"/>
              </w:rPr>
              <w:t>理货预报</w:t>
            </w:r>
          </w:p>
        </w:tc>
        <w:tc>
          <w:tcPr>
            <w:tcW w:w="4860" w:type="dxa"/>
            <w:shd w:val="clear" w:color="auto" w:fill="FFFFFF"/>
            <w:vAlign w:val="center"/>
          </w:tcPr>
          <w:p>
            <w:pPr>
              <w:rPr>
                <w:rFonts w:hint="eastAsia" w:ascii="仿宋_GB2312" w:eastAsia="仿宋_GB2312"/>
              </w:rPr>
            </w:pPr>
            <w:r>
              <w:rPr>
                <w:rFonts w:hint="eastAsia" w:ascii="仿宋_GB2312" w:eastAsia="仿宋_GB2312"/>
              </w:rPr>
              <w:t>理货报告维护，以企业申报的货物数据为准，并以报文方式发送至通关服务平台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7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jc w:val="center"/>
              <w:rPr>
                <w:rFonts w:hint="eastAsia" w:ascii="仿宋_GB2312" w:eastAsia="仿宋_GB2312"/>
              </w:rPr>
            </w:pPr>
            <w:r>
              <w:rPr>
                <w:rFonts w:hint="eastAsia" w:ascii="仿宋_GB2312" w:eastAsia="仿宋_GB2312"/>
              </w:rPr>
              <w:t>理货报告</w:t>
            </w:r>
          </w:p>
        </w:tc>
        <w:tc>
          <w:tcPr>
            <w:tcW w:w="4860" w:type="dxa"/>
            <w:shd w:val="clear" w:color="auto" w:fill="FFFFFF"/>
            <w:vAlign w:val="center"/>
          </w:tcPr>
          <w:p>
            <w:pPr>
              <w:rPr>
                <w:rFonts w:hint="eastAsia" w:ascii="仿宋_GB2312" w:eastAsia="仿宋_GB2312"/>
              </w:rPr>
            </w:pPr>
            <w:r>
              <w:rPr>
                <w:rFonts w:hint="eastAsia" w:ascii="仿宋_GB2312" w:eastAsia="仿宋_GB2312"/>
              </w:rPr>
              <w:t>理货报告维护，以实际到达场站的货物数据为准，并以报文方式发送至通关服务平台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7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jc w:val="center"/>
              <w:rPr>
                <w:rFonts w:hint="eastAsia" w:ascii="仿宋_GB2312" w:eastAsia="仿宋_GB2312"/>
              </w:rPr>
            </w:pPr>
            <w:r>
              <w:rPr>
                <w:rFonts w:hint="eastAsia" w:ascii="仿宋_GB2312" w:eastAsia="仿宋_GB2312"/>
              </w:rPr>
              <w:t>理货确报</w:t>
            </w:r>
          </w:p>
        </w:tc>
        <w:tc>
          <w:tcPr>
            <w:tcW w:w="4860" w:type="dxa"/>
            <w:shd w:val="clear" w:color="auto" w:fill="FFFFFF"/>
            <w:vAlign w:val="center"/>
          </w:tcPr>
          <w:p>
            <w:pPr>
              <w:rPr>
                <w:rFonts w:hint="eastAsia" w:ascii="仿宋_GB2312" w:eastAsia="仿宋_GB2312"/>
              </w:rPr>
            </w:pPr>
            <w:r>
              <w:rPr>
                <w:rFonts w:hint="eastAsia" w:ascii="仿宋_GB2312" w:eastAsia="仿宋_GB2312"/>
              </w:rPr>
              <w:t>理货报告维护，以可以放行的货物数据为准，并以报文方式发送至通关服务平台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shd w:val="clear" w:color="auto" w:fill="FFFFFF"/>
            <w:vAlign w:val="center"/>
          </w:tcPr>
          <w:p>
            <w:pPr>
              <w:rPr>
                <w:rFonts w:hint="eastAsia" w:ascii="仿宋_GB2312" w:eastAsia="仿宋_GB2312"/>
              </w:rPr>
            </w:pPr>
            <w:r>
              <w:rPr>
                <w:rFonts w:hint="eastAsia" w:ascii="仿宋_GB2312" w:eastAsia="仿宋_GB2312"/>
              </w:rPr>
              <w:t>理货管理</w:t>
            </w:r>
          </w:p>
        </w:tc>
        <w:tc>
          <w:tcPr>
            <w:tcW w:w="1800" w:type="dxa"/>
            <w:shd w:val="clear" w:color="auto" w:fill="FFFFFF"/>
            <w:vAlign w:val="center"/>
          </w:tcPr>
          <w:p>
            <w:pPr>
              <w:jc w:val="center"/>
              <w:rPr>
                <w:rFonts w:hint="eastAsia" w:ascii="仿宋_GB2312" w:eastAsia="仿宋_GB2312"/>
              </w:rPr>
            </w:pPr>
            <w:r>
              <w:rPr>
                <w:rFonts w:hint="eastAsia" w:ascii="仿宋_GB2312" w:eastAsia="仿宋_GB2312"/>
              </w:rPr>
              <w:t>分运单理货</w:t>
            </w:r>
          </w:p>
        </w:tc>
        <w:tc>
          <w:tcPr>
            <w:tcW w:w="4860" w:type="dxa"/>
            <w:shd w:val="clear" w:color="auto" w:fill="FFFFFF"/>
            <w:vAlign w:val="center"/>
          </w:tcPr>
          <w:p>
            <w:pPr>
              <w:rPr>
                <w:rFonts w:hint="eastAsia" w:ascii="仿宋_GB2312" w:eastAsia="仿宋_GB2312"/>
              </w:rPr>
            </w:pPr>
            <w:r>
              <w:rPr>
                <w:rFonts w:hint="eastAsia" w:ascii="仿宋_GB2312" w:eastAsia="仿宋_GB2312"/>
              </w:rPr>
              <w:t>分运单理货信息维护，可与手持条码设备对接，完成分运单理货功能，并以报文方式发送至通关服务平台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shd w:val="clear" w:color="auto" w:fill="FFFFFF"/>
            <w:vAlign w:val="center"/>
          </w:tcPr>
          <w:p>
            <w:pPr>
              <w:rPr>
                <w:rFonts w:hint="eastAsia" w:ascii="仿宋_GB2312" w:eastAsia="仿宋_GB2312"/>
              </w:rPr>
            </w:pPr>
            <w:r>
              <w:rPr>
                <w:rFonts w:hint="eastAsia" w:ascii="仿宋_GB2312" w:eastAsia="仿宋_GB2312"/>
              </w:rPr>
              <w:t>分拣管理</w:t>
            </w: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分拣包裹</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查询货物状态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4"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restart"/>
            <w:shd w:val="clear" w:color="auto" w:fill="FFFFFF"/>
            <w:vAlign w:val="center"/>
          </w:tcPr>
          <w:p>
            <w:pPr>
              <w:rPr>
                <w:rFonts w:hint="eastAsia" w:ascii="仿宋_GB2312" w:eastAsia="仿宋_GB2312"/>
              </w:rPr>
            </w:pPr>
            <w:r>
              <w:rPr>
                <w:rFonts w:hint="eastAsia" w:ascii="仿宋_GB2312" w:eastAsia="仿宋_GB2312"/>
              </w:rPr>
              <w:t>暂扣管理</w:t>
            </w: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暂扣入库维护</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维护海关或者国检暂扣货物入库信息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暂扣入库查看</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查看海关或者国检暂扣货物入库信息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暂扣出库维护</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维护海关或者国检暂扣货物出库信息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暂扣出库查看</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查看海关或者国检暂扣货物入库信息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出库确认</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暂扣货物出库确认操作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restart"/>
            <w:shd w:val="clear" w:color="auto" w:fill="FFFFFF"/>
            <w:vAlign w:val="center"/>
          </w:tcPr>
          <w:p>
            <w:pPr>
              <w:rPr>
                <w:rFonts w:hint="eastAsia" w:ascii="仿宋_GB2312" w:eastAsia="仿宋_GB2312"/>
              </w:rPr>
            </w:pPr>
            <w:r>
              <w:rPr>
                <w:rFonts w:hint="eastAsia" w:ascii="仿宋_GB2312" w:eastAsia="仿宋_GB2312"/>
              </w:rPr>
              <w:t>暂存库</w:t>
            </w:r>
          </w:p>
          <w:p>
            <w:pPr>
              <w:rPr>
                <w:rFonts w:hint="eastAsia" w:ascii="仿宋_GB2312" w:eastAsia="仿宋_GB2312"/>
              </w:rPr>
            </w:pPr>
            <w:r>
              <w:rPr>
                <w:rFonts w:hint="eastAsia" w:ascii="仿宋_GB2312" w:eastAsia="仿宋_GB2312"/>
              </w:rPr>
              <w:t>管理</w:t>
            </w: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暂存入库管理</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维护暂存入库货物信息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暂存出库管理</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维护暂存出库货物信息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暂存库信息查询</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查看暂存库货物信息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restart"/>
            <w:shd w:val="clear" w:color="auto" w:fill="FFFFFF"/>
            <w:vAlign w:val="center"/>
          </w:tcPr>
          <w:p>
            <w:pPr>
              <w:rPr>
                <w:rFonts w:hint="eastAsia" w:ascii="仿宋_GB2312" w:eastAsia="仿宋_GB2312"/>
              </w:rPr>
            </w:pPr>
            <w:r>
              <w:rPr>
                <w:rFonts w:hint="eastAsia" w:ascii="仿宋_GB2312" w:eastAsia="仿宋_GB2312"/>
              </w:rPr>
              <w:t>盘库信息</w:t>
            </w: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库存查询</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查询场站货物库存信息。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定期申报仓储信息</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维护并向海关申报仓库信息。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期末数调整申请单</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维护并向海关申报期末数调整数据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9"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restart"/>
            <w:shd w:val="clear" w:color="auto" w:fill="FFFFFF"/>
            <w:vAlign w:val="center"/>
          </w:tcPr>
          <w:p>
            <w:pPr>
              <w:rPr>
                <w:rFonts w:hint="eastAsia" w:ascii="仿宋_GB2312" w:eastAsia="仿宋_GB2312"/>
              </w:rPr>
            </w:pPr>
            <w:r>
              <w:rPr>
                <w:rFonts w:hint="eastAsia" w:ascii="仿宋_GB2312" w:eastAsia="仿宋_GB2312"/>
              </w:rPr>
              <w:t>放行出库管理</w:t>
            </w: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海关指令查询</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查询海关指令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国检指令查询</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查询国检指令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扫描出库</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扫描出库作业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出库查询</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查询出库记录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总单出库信息</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维护总单出库信息，</w:t>
            </w:r>
            <w:r>
              <w:rPr>
                <w:rFonts w:hint="eastAsia" w:ascii="仿宋_GB2312" w:eastAsia="仿宋_GB2312"/>
              </w:rPr>
              <w:t>并以报文方式发送至通关服务平台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shd w:val="clear" w:color="auto" w:fill="FFFFFF"/>
            <w:vAlign w:val="center"/>
          </w:tcPr>
          <w:p>
            <w:pPr>
              <w:rPr>
                <w:rFonts w:hint="eastAsia" w:ascii="仿宋_GB2312" w:eastAsia="仿宋_GB2312"/>
              </w:rPr>
            </w:pPr>
            <w:r>
              <w:rPr>
                <w:rFonts w:hint="eastAsia" w:ascii="仿宋_GB2312" w:eastAsia="仿宋_GB2312"/>
              </w:rPr>
              <w:t>罚没库管理</w:t>
            </w: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罚没库信息</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维护罚没库货物信息，</w:t>
            </w:r>
            <w:r>
              <w:rPr>
                <w:rFonts w:hint="eastAsia" w:ascii="仿宋_GB2312" w:eastAsia="仿宋_GB2312"/>
              </w:rPr>
              <w:t>并以报文方式发送至通关服务平台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restart"/>
            <w:shd w:val="clear" w:color="auto" w:fill="FFFFFF"/>
            <w:vAlign w:val="center"/>
          </w:tcPr>
          <w:p>
            <w:pPr>
              <w:rPr>
                <w:rFonts w:hint="eastAsia" w:ascii="仿宋_GB2312" w:eastAsia="仿宋_GB2312"/>
              </w:rPr>
            </w:pPr>
            <w:r>
              <w:rPr>
                <w:rFonts w:hint="eastAsia" w:ascii="仿宋_GB2312" w:eastAsia="仿宋_GB2312"/>
              </w:rPr>
              <w:t>费用管理</w:t>
            </w: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费用项目维护</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维护费用项目信息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约价方案维护</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维护应收约价方案信息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应收账单维护</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维护应收账单信息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96"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应收账单审核</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对应收账单进行审核操作，并可做支付确认。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96"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对账单</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查询对账单信息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restart"/>
            <w:shd w:val="clear" w:color="auto" w:fill="FFFFFF"/>
            <w:vAlign w:val="center"/>
          </w:tcPr>
          <w:p>
            <w:pPr>
              <w:rPr>
                <w:rFonts w:hint="eastAsia" w:ascii="仿宋_GB2312" w:eastAsia="仿宋_GB2312"/>
              </w:rPr>
            </w:pPr>
            <w:r>
              <w:rPr>
                <w:rFonts w:hint="eastAsia" w:ascii="仿宋_GB2312" w:eastAsia="仿宋_GB2312"/>
              </w:rPr>
              <w:t>查询分析</w:t>
            </w: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总运单查询</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查询总运单信息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分运单查询</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查询分运单信息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ind w:firstLine="420" w:firstLineChars="200"/>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暂扣库存查询</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查询暂扣库存信息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7"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widowControl/>
              <w:jc w:val="left"/>
              <w:rPr>
                <w:rFonts w:hint="eastAsia" w:ascii="仿宋_GB2312" w:eastAsia="仿宋_GB2312"/>
                <w:kern w:val="0"/>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主运单销号查询</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kern w:val="0"/>
              </w:rPr>
              <w:t>查询主运单销号信息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restart"/>
            <w:shd w:val="clear" w:color="auto" w:fill="FFFFFF"/>
            <w:vAlign w:val="center"/>
          </w:tcPr>
          <w:p>
            <w:pPr>
              <w:rPr>
                <w:rFonts w:hint="eastAsia" w:ascii="仿宋_GB2312" w:eastAsia="仿宋_GB2312"/>
              </w:rPr>
            </w:pPr>
            <w:r>
              <w:rPr>
                <w:rFonts w:hint="eastAsia" w:ascii="仿宋_GB2312" w:eastAsia="仿宋_GB2312"/>
              </w:rPr>
              <w:t>权限管理</w:t>
            </w: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修改密码</w:t>
            </w:r>
          </w:p>
        </w:tc>
        <w:tc>
          <w:tcPr>
            <w:tcW w:w="4860" w:type="dxa"/>
            <w:shd w:val="clear" w:color="auto" w:fill="FFFFFF"/>
            <w:vAlign w:val="center"/>
          </w:tcPr>
          <w:p>
            <w:pPr>
              <w:widowControl/>
              <w:jc w:val="left"/>
              <w:rPr>
                <w:rFonts w:hint="eastAsia" w:ascii="仿宋_GB2312" w:eastAsia="仿宋_GB2312"/>
                <w:kern w:val="0"/>
              </w:rPr>
            </w:pPr>
            <w:r>
              <w:rPr>
                <w:rFonts w:hint="eastAsia" w:ascii="仿宋_GB2312" w:eastAsia="仿宋_GB2312" w:cs="宋体"/>
                <w:kern w:val="0"/>
              </w:rPr>
              <w:t>修改密码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widowControl/>
              <w:jc w:val="center"/>
              <w:rPr>
                <w:rFonts w:hint="eastAsia" w:ascii="仿宋_GB2312" w:eastAsia="仿宋_GB2312"/>
                <w:kern w:val="0"/>
              </w:rPr>
            </w:pPr>
            <w:r>
              <w:rPr>
                <w:rFonts w:hint="eastAsia" w:ascii="仿宋_GB2312" w:eastAsia="仿宋_GB2312"/>
                <w:kern w:val="0"/>
              </w:rPr>
              <w:t>用户管理</w:t>
            </w:r>
          </w:p>
        </w:tc>
        <w:tc>
          <w:tcPr>
            <w:tcW w:w="4860" w:type="dxa"/>
            <w:shd w:val="clear" w:color="auto" w:fill="FFFFFF"/>
            <w:vAlign w:val="center"/>
          </w:tcPr>
          <w:p>
            <w:pPr>
              <w:rPr>
                <w:rFonts w:hint="eastAsia" w:ascii="仿宋_GB2312" w:eastAsia="仿宋_GB2312"/>
              </w:rPr>
            </w:pPr>
            <w:r>
              <w:rPr>
                <w:rFonts w:hint="eastAsia" w:ascii="仿宋_GB2312" w:eastAsia="仿宋_GB2312"/>
              </w:rPr>
              <w:t>系统用户维护，设置用户角色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0" w:hRule="atLeast"/>
        </w:trPr>
        <w:tc>
          <w:tcPr>
            <w:tcW w:w="1265" w:type="dxa"/>
            <w:vMerge w:val="continue"/>
            <w:shd w:val="clear" w:color="auto" w:fill="FFFFFF"/>
            <w:vAlign w:val="top"/>
          </w:tcPr>
          <w:p>
            <w:pPr>
              <w:ind w:firstLine="420" w:firstLineChars="200"/>
              <w:rPr>
                <w:rFonts w:hint="eastAsia" w:ascii="仿宋_GB2312" w:eastAsia="仿宋_GB2312"/>
              </w:rPr>
            </w:pPr>
          </w:p>
        </w:tc>
        <w:tc>
          <w:tcPr>
            <w:tcW w:w="1260" w:type="dxa"/>
            <w:vMerge w:val="continue"/>
            <w:shd w:val="clear" w:color="auto" w:fill="FFFFFF"/>
            <w:vAlign w:val="center"/>
          </w:tcPr>
          <w:p>
            <w:pPr>
              <w:rPr>
                <w:rFonts w:hint="eastAsia" w:ascii="仿宋_GB2312" w:eastAsia="仿宋_GB2312"/>
              </w:rPr>
            </w:pPr>
          </w:p>
        </w:tc>
        <w:tc>
          <w:tcPr>
            <w:tcW w:w="1800" w:type="dxa"/>
            <w:shd w:val="clear" w:color="auto" w:fill="FFFFFF"/>
            <w:vAlign w:val="center"/>
          </w:tcPr>
          <w:p>
            <w:pPr>
              <w:jc w:val="center"/>
              <w:rPr>
                <w:rFonts w:hint="eastAsia" w:ascii="仿宋_GB2312" w:eastAsia="仿宋_GB2312"/>
              </w:rPr>
            </w:pPr>
            <w:r>
              <w:rPr>
                <w:rFonts w:hint="eastAsia" w:ascii="仿宋_GB2312" w:eastAsia="仿宋_GB2312"/>
              </w:rPr>
              <w:t>角色管理</w:t>
            </w:r>
          </w:p>
        </w:tc>
        <w:tc>
          <w:tcPr>
            <w:tcW w:w="4860" w:type="dxa"/>
            <w:shd w:val="clear" w:color="auto" w:fill="FFFFFF"/>
            <w:vAlign w:val="center"/>
          </w:tcPr>
          <w:p>
            <w:pPr>
              <w:rPr>
                <w:rFonts w:hint="eastAsia" w:ascii="仿宋_GB2312" w:eastAsia="仿宋_GB2312"/>
              </w:rPr>
            </w:pPr>
            <w:r>
              <w:rPr>
                <w:rFonts w:hint="eastAsia" w:ascii="仿宋_GB2312" w:eastAsia="仿宋_GB2312"/>
              </w:rPr>
              <w:t>系统角色维护，设置角色菜单权限</w:t>
            </w:r>
          </w:p>
        </w:tc>
      </w:tr>
    </w:tbl>
    <w:p/>
    <w:p>
      <w:pPr>
        <w:pStyle w:val="10"/>
        <w:rPr>
          <w:rFonts w:hint="eastAsia" w:hAnsi="微软雅黑"/>
          <w:sz w:val="40"/>
          <w:szCs w:val="36"/>
        </w:rPr>
      </w:pPr>
      <w:bookmarkStart w:id="21" w:name="_Toc22001"/>
      <w:r>
        <w:rPr>
          <w:rFonts w:hint="eastAsia" w:ascii="仿宋_GB2312" w:hAnsi="微软雅黑" w:eastAsia="仿宋_GB2312"/>
          <w:sz w:val="40"/>
          <w:szCs w:val="36"/>
        </w:rPr>
        <w:t>弱电</w:t>
      </w:r>
      <w:bookmarkEnd w:id="21"/>
      <w:r>
        <w:rPr>
          <w:rFonts w:hint="eastAsia" w:ascii="仿宋_GB2312" w:hAnsi="微软雅黑" w:eastAsia="仿宋_GB2312"/>
          <w:sz w:val="40"/>
          <w:szCs w:val="36"/>
        </w:rPr>
        <w:t>智能化</w:t>
      </w:r>
    </w:p>
    <w:p>
      <w:pPr>
        <w:pStyle w:val="10"/>
        <w:jc w:val="left"/>
        <w:rPr>
          <w:rFonts w:hint="eastAsia" w:ascii="仿宋_GB2312" w:hAnsi="微软雅黑" w:eastAsia="仿宋_GB2312"/>
          <w:sz w:val="36"/>
          <w:szCs w:val="36"/>
        </w:rPr>
      </w:pPr>
      <w:bookmarkStart w:id="22" w:name="_Toc2278"/>
      <w:bookmarkStart w:id="23" w:name="_Toc421033420"/>
      <w:r>
        <w:rPr>
          <w:rFonts w:hint="eastAsia" w:ascii="仿宋_GB2312" w:hAnsi="微软雅黑" w:eastAsia="仿宋_GB2312"/>
          <w:sz w:val="36"/>
          <w:szCs w:val="36"/>
        </w:rPr>
        <w:t>一、网络硬件基础建设</w:t>
      </w:r>
      <w:bookmarkEnd w:id="22"/>
      <w:bookmarkEnd w:id="23"/>
    </w:p>
    <w:p>
      <w:pPr>
        <w:pStyle w:val="10"/>
        <w:jc w:val="left"/>
        <w:rPr>
          <w:rFonts w:hint="eastAsia" w:ascii="仿宋_GB2312" w:hAnsi="微软雅黑" w:eastAsia="仿宋_GB2312"/>
        </w:rPr>
      </w:pPr>
      <w:bookmarkStart w:id="24" w:name="_Toc31405"/>
      <w:bookmarkStart w:id="25" w:name="_Toc421033421"/>
      <w:bookmarkStart w:id="26" w:name="_Toc9046"/>
      <w:r>
        <w:rPr>
          <w:rFonts w:hint="eastAsia" w:ascii="仿宋_GB2312" w:hAnsi="微软雅黑" w:eastAsia="仿宋_GB2312"/>
        </w:rPr>
        <w:t>1.1  网络环境</w:t>
      </w:r>
      <w:bookmarkEnd w:id="24"/>
      <w:bookmarkEnd w:id="25"/>
      <w:bookmarkEnd w:id="26"/>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信息化网络平台是所有信息化应用的基础支撑平台。为满足许昌监管场所各单位正常的业务开展及办公需要，需建设业务专网、视频监控专网、互联网三套网络，网络之间必须物理隔离。</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需要配备相应的光纤、防火墙、路由器、安全设备、交换机、网线等。各办公室都能联接内、外网，有相应的网线接口。</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为保障业务数据安全，所有现场海关和海关中心机房进行数据交换必须采用独立的物理线路连接，使用互联网SDH专线隧道连接。</w:t>
      </w:r>
    </w:p>
    <w:p>
      <w:pPr>
        <w:pStyle w:val="10"/>
        <w:jc w:val="left"/>
        <w:rPr>
          <w:rFonts w:hint="eastAsia" w:ascii="仿宋_GB2312" w:hAnsi="微软雅黑" w:eastAsia="仿宋_GB2312"/>
        </w:rPr>
      </w:pPr>
      <w:bookmarkStart w:id="27" w:name="_Toc5524"/>
      <w:bookmarkStart w:id="28" w:name="_Toc421033422"/>
      <w:bookmarkStart w:id="29" w:name="_Toc25309"/>
      <w:r>
        <w:rPr>
          <w:rFonts w:hint="eastAsia" w:ascii="仿宋_GB2312" w:hAnsi="微软雅黑" w:eastAsia="仿宋_GB2312"/>
        </w:rPr>
        <w:t xml:space="preserve">1.2  </w:t>
      </w:r>
      <w:r>
        <w:rPr>
          <w:rFonts w:hint="eastAsia" w:ascii="仿宋_GB2312" w:hAnsi="微软雅黑" w:eastAsia="仿宋_GB2312"/>
          <w:sz w:val="36"/>
          <w:szCs w:val="36"/>
        </w:rPr>
        <w:t>机房要求</w:t>
      </w:r>
      <w:bookmarkEnd w:id="27"/>
      <w:bookmarkEnd w:id="28"/>
      <w:bookmarkEnd w:id="29"/>
    </w:p>
    <w:p>
      <w:pPr>
        <w:pStyle w:val="10"/>
        <w:jc w:val="left"/>
        <w:rPr>
          <w:rFonts w:hint="eastAsia" w:ascii="仿宋_GB2312" w:hAnsi="微软雅黑" w:eastAsia="仿宋_GB2312"/>
        </w:rPr>
      </w:pPr>
      <w:r>
        <w:rPr>
          <w:rFonts w:hint="eastAsia" w:ascii="仿宋_GB2312" w:hAnsi="微软雅黑" w:eastAsia="仿宋_GB2312"/>
        </w:rPr>
        <w:t xml:space="preserve"> </w:t>
      </w:r>
      <w:bookmarkStart w:id="30" w:name="_Toc421033423"/>
      <w:bookmarkStart w:id="31" w:name="_Toc3953"/>
      <w:r>
        <w:rPr>
          <w:rFonts w:hint="eastAsia" w:ascii="仿宋_GB2312" w:hAnsi="微软雅黑" w:eastAsia="仿宋_GB2312"/>
        </w:rPr>
        <w:t xml:space="preserve">1.2.1  </w:t>
      </w:r>
      <w:r>
        <w:rPr>
          <w:rFonts w:hint="eastAsia" w:ascii="仿宋_GB2312" w:hAnsi="微软雅黑" w:eastAsia="仿宋_GB2312"/>
          <w:sz w:val="36"/>
          <w:szCs w:val="36"/>
        </w:rPr>
        <w:t>综合布线技术要求</w:t>
      </w:r>
      <w:bookmarkEnd w:id="30"/>
      <w:bookmarkEnd w:id="31"/>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（1）综合布线系统应与大楼办公自动化、通信自动化、楼宇自动化等系统统筹规划，按照各种信息的传输要求，做到合理使用，并应符合相关的标准。</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为保证网络及数据安全，海关业务内网、视频监控网、互联网必须采用独立的综合布线系统，并汇至许昌海关机房。许昌监管场所现场监管仓库、办公用房、处理区等均要求有独立专用的配线间，并通过独立的综合布线工程联到现场海关中心机房。</w:t>
      </w:r>
    </w:p>
    <w:p>
      <w:pPr>
        <w:spacing w:line="360" w:lineRule="auto"/>
        <w:ind w:left="367" w:leftChars="175" w:firstLine="380"/>
        <w:rPr>
          <w:rFonts w:hint="eastAsia" w:ascii="仿宋_GB2312" w:hAnsi="微软雅黑" w:eastAsia="仿宋_GB2312"/>
          <w:sz w:val="28"/>
          <w:szCs w:val="28"/>
        </w:rPr>
      </w:pPr>
      <w:r>
        <w:rPr>
          <w:rFonts w:hint="eastAsia" w:ascii="仿宋_GB2312" w:hAnsi="微软雅黑" w:eastAsia="仿宋_GB2312"/>
          <w:sz w:val="28"/>
          <w:szCs w:val="28"/>
        </w:rPr>
        <w:t>（2）每个席位保证至少4个数据信息点（1业务内网、1个互联网、1个预留）和一个语音信息点（满足电话的需要）。</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数据信息点水平布线采用六类非屏蔽布线系统，主干采用光纤；语音信息水平布线采用六类非屏蔽双绞线，语音主干采用三类大对数电缆；语音信息点与数据信息点可灵活互换。数据信息布线系统和语音信息布线系统实现物理隔离。</w:t>
      </w:r>
    </w:p>
    <w:p>
      <w:pPr>
        <w:numPr>
          <w:ilvl w:val="0"/>
          <w:numId w:val="3"/>
        </w:num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布线采用标准以满足工作需要，并根据布线方案使用寿命适度超前。最低需千兆主干、百兆（CAT5）至桌面。</w:t>
      </w:r>
    </w:p>
    <w:p>
      <w:pPr>
        <w:spacing w:line="360" w:lineRule="auto"/>
        <w:ind w:left="630" w:leftChars="300" w:firstLine="560" w:firstLineChars="200"/>
        <w:rPr>
          <w:rFonts w:hint="eastAsia" w:ascii="仿宋_GB2312" w:hAnsi="微软雅黑" w:eastAsia="仿宋_GB2312"/>
          <w:sz w:val="28"/>
          <w:szCs w:val="28"/>
        </w:rPr>
      </w:pPr>
    </w:p>
    <w:p>
      <w:pPr>
        <w:pStyle w:val="10"/>
        <w:jc w:val="left"/>
        <w:rPr>
          <w:rFonts w:hint="eastAsia" w:ascii="仿宋_GB2312" w:hAnsi="微软雅黑" w:eastAsia="仿宋_GB2312"/>
        </w:rPr>
      </w:pPr>
      <w:bookmarkStart w:id="32" w:name="_Toc421033424"/>
      <w:bookmarkStart w:id="33" w:name="_Toc13295"/>
      <w:bookmarkStart w:id="34" w:name="_Toc920"/>
      <w:r>
        <w:rPr>
          <w:rFonts w:hint="eastAsia" w:ascii="仿宋_GB2312" w:hAnsi="微软雅黑" w:eastAsia="仿宋_GB2312"/>
        </w:rPr>
        <w:t xml:space="preserve">1.3  </w:t>
      </w:r>
      <w:r>
        <w:rPr>
          <w:rFonts w:hint="eastAsia" w:ascii="仿宋_GB2312" w:hAnsi="微软雅黑" w:eastAsia="仿宋_GB2312"/>
          <w:sz w:val="36"/>
          <w:szCs w:val="36"/>
        </w:rPr>
        <w:t>网络设备要求</w:t>
      </w:r>
      <w:bookmarkEnd w:id="32"/>
      <w:bookmarkEnd w:id="33"/>
      <w:bookmarkEnd w:id="34"/>
    </w:p>
    <w:p>
      <w:pPr>
        <w:pStyle w:val="10"/>
        <w:jc w:val="left"/>
        <w:rPr>
          <w:rFonts w:hint="eastAsia" w:ascii="仿宋_GB2312" w:hAnsi="微软雅黑" w:eastAsia="仿宋_GB2312"/>
        </w:rPr>
      </w:pPr>
      <w:bookmarkStart w:id="35" w:name="_Toc421033425"/>
      <w:bookmarkStart w:id="36" w:name="_Toc17588"/>
      <w:r>
        <w:rPr>
          <w:rFonts w:hint="eastAsia" w:ascii="仿宋_GB2312" w:hAnsi="微软雅黑" w:eastAsia="仿宋_GB2312"/>
        </w:rPr>
        <w:t xml:space="preserve">1.3.1  </w:t>
      </w:r>
      <w:r>
        <w:rPr>
          <w:rFonts w:hint="eastAsia" w:ascii="仿宋_GB2312" w:hAnsi="微软雅黑" w:eastAsia="仿宋_GB2312"/>
          <w:sz w:val="36"/>
          <w:szCs w:val="36"/>
        </w:rPr>
        <w:t>网络设备</w:t>
      </w:r>
      <w:bookmarkEnd w:id="35"/>
      <w:bookmarkEnd w:id="36"/>
    </w:p>
    <w:p>
      <w:pPr>
        <w:spacing w:line="360" w:lineRule="auto"/>
        <w:ind w:firstLine="560" w:firstLineChars="200"/>
        <w:rPr>
          <w:rFonts w:hint="eastAsia" w:ascii="仿宋_GB2312" w:hAnsi="微软雅黑" w:eastAsia="仿宋_GB2312"/>
          <w:b/>
          <w:sz w:val="28"/>
          <w:szCs w:val="28"/>
        </w:rPr>
      </w:pPr>
      <w:r>
        <w:rPr>
          <w:rFonts w:hint="eastAsia" w:ascii="仿宋_GB2312" w:hAnsi="微软雅黑" w:eastAsia="仿宋_GB2312"/>
          <w:b/>
          <w:sz w:val="28"/>
          <w:szCs w:val="28"/>
        </w:rPr>
        <w:t xml:space="preserve">  1、专线接入设备：</w:t>
      </w:r>
    </w:p>
    <w:p>
      <w:pPr>
        <w:spacing w:line="360" w:lineRule="auto"/>
        <w:ind w:left="24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一般为路由器。</w:t>
      </w:r>
    </w:p>
    <w:p>
      <w:pPr>
        <w:spacing w:line="360" w:lineRule="auto"/>
        <w:ind w:left="210" w:leftChars="100" w:firstLine="560" w:firstLineChars="200"/>
        <w:rPr>
          <w:rFonts w:hint="eastAsia" w:ascii="仿宋_GB2312" w:hAnsi="微软雅黑" w:eastAsia="仿宋_GB2312"/>
          <w:b/>
          <w:sz w:val="28"/>
          <w:szCs w:val="28"/>
        </w:rPr>
      </w:pPr>
      <w:r>
        <w:rPr>
          <w:rFonts w:hint="eastAsia" w:ascii="仿宋_GB2312" w:hAnsi="微软雅黑" w:eastAsia="仿宋_GB2312"/>
          <w:b/>
          <w:sz w:val="28"/>
          <w:szCs w:val="28"/>
        </w:rPr>
        <w:t>2、专线接入设备应具有如下功能：</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a)提供与专线配套的接口；</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b)性能满足业务需求；</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c)支持动态路由（OSPF等）；</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d)支持流分类、流量管理、拥塞避免、流量整形、流量监管等QoS策略；</w:t>
      </w:r>
    </w:p>
    <w:p>
      <w:pPr>
        <w:spacing w:line="360" w:lineRule="auto"/>
        <w:ind w:left="210" w:leftChars="100" w:firstLine="560" w:firstLineChars="200"/>
        <w:rPr>
          <w:rFonts w:hint="eastAsia" w:ascii="仿宋_GB2312" w:hAnsi="微软雅黑" w:eastAsia="仿宋_GB2312"/>
          <w:b/>
          <w:sz w:val="28"/>
          <w:szCs w:val="28"/>
        </w:rPr>
      </w:pPr>
      <w:r>
        <w:rPr>
          <w:rFonts w:hint="eastAsia" w:ascii="仿宋_GB2312" w:hAnsi="微软雅黑" w:eastAsia="仿宋_GB2312"/>
          <w:b/>
          <w:sz w:val="28"/>
          <w:szCs w:val="28"/>
        </w:rPr>
        <w:t>3、 配置备份线路的单位应配置备份路由器，功能要求同2。</w:t>
      </w:r>
    </w:p>
    <w:p>
      <w:pPr>
        <w:spacing w:line="360" w:lineRule="auto"/>
        <w:ind w:left="210" w:leftChars="100" w:firstLine="560" w:firstLineChars="200"/>
        <w:rPr>
          <w:rFonts w:hint="eastAsia" w:ascii="仿宋_GB2312" w:hAnsi="微软雅黑" w:eastAsia="仿宋_GB2312"/>
          <w:b/>
          <w:sz w:val="28"/>
          <w:szCs w:val="28"/>
        </w:rPr>
      </w:pPr>
      <w:r>
        <w:rPr>
          <w:rFonts w:hint="eastAsia" w:ascii="仿宋_GB2312" w:hAnsi="微软雅黑" w:eastAsia="仿宋_GB2312"/>
          <w:b/>
          <w:sz w:val="28"/>
          <w:szCs w:val="28"/>
        </w:rPr>
        <w:t>4、 交换机</w:t>
      </w:r>
    </w:p>
    <w:p>
      <w:pPr>
        <w:numPr>
          <w:ilvl w:val="0"/>
          <w:numId w:val="4"/>
        </w:numPr>
        <w:spacing w:line="360" w:lineRule="auto"/>
        <w:rPr>
          <w:rFonts w:hint="eastAsia" w:ascii="仿宋_GB2312" w:hAnsi="微软雅黑" w:eastAsia="仿宋_GB2312"/>
          <w:b/>
          <w:sz w:val="28"/>
          <w:szCs w:val="28"/>
        </w:rPr>
      </w:pPr>
      <w:r>
        <w:rPr>
          <w:rFonts w:hint="eastAsia" w:ascii="仿宋_GB2312" w:hAnsi="微软雅黑" w:eastAsia="仿宋_GB2312"/>
          <w:b/>
          <w:bCs/>
          <w:sz w:val="28"/>
          <w:szCs w:val="28"/>
        </w:rPr>
        <w:t>核心交换设备</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一般为三层交换机，要求硬件设备有一定的冗余，提供较好的可靠性。（小型机构不做要求）</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a)提供双电源，双处理引擎；</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b)提供满足要求的二层、三层处理能力；</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c)支持动态路由（OSPF等）；</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d)支持DHCP功能：DHCP Snooping、DHCP Relay、DHCP Server</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e)支持远程管理维护：支持命令行接口（CLI），Telnet，SSH，Console口进行配置；支持SNMPv1/v2/v3；</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f)支持802.1X认证/集中式MAC地址认证；支持RADIUS认证；支持端口隔离；支持端口安全；支持PORTAL认证；可支持DHCP Snooping，防止欺骗的DHCP服务器</w:t>
      </w:r>
    </w:p>
    <w:p>
      <w:pPr>
        <w:numPr>
          <w:ilvl w:val="0"/>
          <w:numId w:val="4"/>
        </w:numPr>
        <w:spacing w:line="360" w:lineRule="auto"/>
        <w:rPr>
          <w:rFonts w:hint="eastAsia" w:ascii="仿宋_GB2312" w:hAnsi="微软雅黑" w:eastAsia="仿宋_GB2312"/>
          <w:b/>
          <w:sz w:val="28"/>
          <w:szCs w:val="28"/>
        </w:rPr>
      </w:pPr>
      <w:r>
        <w:rPr>
          <w:rFonts w:hint="eastAsia" w:ascii="仿宋_GB2312" w:hAnsi="微软雅黑" w:eastAsia="仿宋_GB2312"/>
          <w:b/>
          <w:sz w:val="28"/>
          <w:szCs w:val="28"/>
        </w:rPr>
        <w:t>接入交换机</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一般为二层交换机。</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a)提供满足要求的二层处理能力；</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b)支持VLAN：access、trunk、hybrid，支持VLAN数&gt;=128；</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c)支持远程管理维护：支持命令行接口（CLI），Telnet，SSH，Console口进行配置；支持SNMPv1/v2/v3；</w:t>
      </w:r>
    </w:p>
    <w:p>
      <w:pPr>
        <w:pStyle w:val="10"/>
        <w:jc w:val="left"/>
        <w:rPr>
          <w:rFonts w:hint="eastAsia" w:ascii="仿宋_GB2312" w:hAnsi="微软雅黑" w:eastAsia="仿宋_GB2312"/>
        </w:rPr>
      </w:pPr>
      <w:bookmarkStart w:id="37" w:name="_Toc421033426"/>
      <w:bookmarkStart w:id="38" w:name="_Toc24788"/>
      <w:r>
        <w:rPr>
          <w:rFonts w:hint="eastAsia" w:ascii="仿宋_GB2312" w:hAnsi="微软雅黑" w:eastAsia="仿宋_GB2312"/>
        </w:rPr>
        <w:t xml:space="preserve">1.3.2   </w:t>
      </w:r>
      <w:r>
        <w:rPr>
          <w:rFonts w:hint="eastAsia" w:ascii="仿宋_GB2312" w:hAnsi="微软雅黑" w:eastAsia="仿宋_GB2312"/>
          <w:sz w:val="36"/>
          <w:szCs w:val="36"/>
        </w:rPr>
        <w:t>网络安全</w:t>
      </w:r>
      <w:bookmarkEnd w:id="37"/>
      <w:bookmarkEnd w:id="38"/>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1、提供独立互联网接入的机构，应配置防火墙设备进行逻辑隔离，有条件的单位应根据当地信息安全部门要求，配置互联网访问审计设备，记录保存不少于60天；</w:t>
      </w:r>
    </w:p>
    <w:p>
      <w:pPr>
        <w:spacing w:line="360" w:lineRule="auto"/>
        <w:ind w:left="210" w:leftChars="10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2、有自有应用系统的分支机构应配置防火墙对应用的访问进行控制。</w:t>
      </w:r>
    </w:p>
    <w:p>
      <w:pPr>
        <w:pStyle w:val="10"/>
        <w:jc w:val="left"/>
        <w:rPr>
          <w:rFonts w:hint="eastAsia" w:ascii="仿宋_GB2312" w:hAnsi="微软雅黑" w:eastAsia="仿宋_GB2312"/>
        </w:rPr>
      </w:pPr>
      <w:bookmarkStart w:id="39" w:name="_Toc3860"/>
      <w:bookmarkStart w:id="40" w:name="_Toc421033427"/>
      <w:bookmarkStart w:id="41" w:name="_Toc1432"/>
      <w:r>
        <w:rPr>
          <w:rFonts w:hint="eastAsia" w:ascii="仿宋_GB2312" w:hAnsi="微软雅黑" w:eastAsia="仿宋_GB2312"/>
        </w:rPr>
        <w:t xml:space="preserve">1.4   </w:t>
      </w:r>
      <w:r>
        <w:rPr>
          <w:rFonts w:hint="eastAsia" w:ascii="仿宋_GB2312" w:hAnsi="微软雅黑" w:eastAsia="仿宋_GB2312"/>
          <w:sz w:val="36"/>
          <w:szCs w:val="36"/>
        </w:rPr>
        <w:t>安全设备要求</w:t>
      </w:r>
      <w:bookmarkEnd w:id="39"/>
      <w:bookmarkEnd w:id="40"/>
      <w:bookmarkEnd w:id="41"/>
    </w:p>
    <w:p>
      <w:pPr>
        <w:spacing w:line="360" w:lineRule="auto"/>
        <w:ind w:firstLine="560" w:firstLineChars="200"/>
        <w:rPr>
          <w:rFonts w:hint="eastAsia" w:ascii="仿宋_GB2312" w:hAnsi="微软雅黑" w:eastAsia="仿宋_GB2312"/>
          <w:sz w:val="28"/>
          <w:szCs w:val="28"/>
        </w:rPr>
      </w:pPr>
      <w:bookmarkStart w:id="42" w:name="_Toc9690"/>
      <w:r>
        <w:rPr>
          <w:rFonts w:hint="eastAsia" w:ascii="仿宋_GB2312" w:hAnsi="微软雅黑" w:eastAsia="仿宋_GB2312"/>
          <w:sz w:val="28"/>
          <w:szCs w:val="28"/>
        </w:rPr>
        <w:t>可实现对互联网访问行为的全面管理。在网页过滤、行为控制、流量管理、防止内网泄密、防范法规风险、互联网访问行为记录、上网安全等多个方面提供解决方案。</w:t>
      </w:r>
    </w:p>
    <w:p>
      <w:pPr>
        <w:pStyle w:val="10"/>
        <w:jc w:val="left"/>
        <w:rPr>
          <w:rFonts w:hint="eastAsia" w:ascii="仿宋_GB2312" w:hAnsi="微软雅黑" w:eastAsia="仿宋_GB2312"/>
        </w:rPr>
      </w:pPr>
      <w:bookmarkStart w:id="43" w:name="_Toc16214"/>
      <w:bookmarkStart w:id="44" w:name="_Toc421033429"/>
      <w:r>
        <w:rPr>
          <w:rFonts w:hint="eastAsia" w:ascii="仿宋_GB2312" w:hAnsi="微软雅黑" w:eastAsia="仿宋_GB2312"/>
        </w:rPr>
        <w:t xml:space="preserve">1.5   </w:t>
      </w:r>
      <w:r>
        <w:rPr>
          <w:rFonts w:hint="eastAsia" w:ascii="仿宋_GB2312" w:hAnsi="微软雅黑" w:eastAsia="仿宋_GB2312"/>
          <w:sz w:val="36"/>
          <w:szCs w:val="36"/>
        </w:rPr>
        <w:t>机房建设</w:t>
      </w:r>
      <w:bookmarkEnd w:id="42"/>
      <w:bookmarkEnd w:id="43"/>
      <w:bookmarkEnd w:id="44"/>
      <w:bookmarkStart w:id="45" w:name="_Toc409170049"/>
      <w:bookmarkStart w:id="46" w:name="_Toc377988321"/>
      <w:bookmarkStart w:id="47" w:name="_Toc408323773"/>
    </w:p>
    <w:p>
      <w:pPr>
        <w:pStyle w:val="10"/>
        <w:jc w:val="left"/>
        <w:rPr>
          <w:rFonts w:hint="eastAsia" w:ascii="仿宋_GB2312" w:hAnsi="微软雅黑" w:eastAsia="仿宋_GB2312"/>
        </w:rPr>
      </w:pPr>
      <w:bookmarkStart w:id="48" w:name="_Toc421033430"/>
      <w:bookmarkStart w:id="49" w:name="_Toc24991"/>
      <w:r>
        <w:rPr>
          <w:rFonts w:hint="eastAsia" w:ascii="仿宋_GB2312" w:hAnsi="微软雅黑" w:eastAsia="仿宋_GB2312"/>
        </w:rPr>
        <w:t>1.5.1 概述</w:t>
      </w:r>
      <w:bookmarkEnd w:id="45"/>
      <w:bookmarkEnd w:id="46"/>
      <w:bookmarkEnd w:id="47"/>
      <w:bookmarkEnd w:id="48"/>
      <w:bookmarkEnd w:id="49"/>
    </w:p>
    <w:p>
      <w:pPr>
        <w:pStyle w:val="16"/>
        <w:spacing w:line="360" w:lineRule="auto"/>
        <w:ind w:firstLine="562"/>
        <w:rPr>
          <w:rFonts w:hint="eastAsia" w:ascii="仿宋_GB2312" w:hAnsi="微软雅黑" w:eastAsia="仿宋_GB2312"/>
          <w:sz w:val="28"/>
          <w:szCs w:val="28"/>
        </w:rPr>
      </w:pPr>
      <w:r>
        <w:rPr>
          <w:rFonts w:hint="eastAsia" w:ascii="仿宋_GB2312" w:hAnsi="微软雅黑" w:eastAsia="仿宋_GB2312"/>
          <w:b/>
          <w:bCs/>
          <w:sz w:val="28"/>
          <w:szCs w:val="28"/>
        </w:rPr>
        <w:t>独立的专用机房</w:t>
      </w:r>
      <w:r>
        <w:rPr>
          <w:rFonts w:hint="eastAsia" w:ascii="仿宋_GB2312" w:hAnsi="微软雅黑" w:eastAsia="仿宋_GB2312"/>
          <w:sz w:val="28"/>
          <w:szCs w:val="28"/>
        </w:rPr>
        <w:t>。</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按</w:t>
      </w:r>
      <w:r>
        <w:rPr>
          <w:rFonts w:hint="eastAsia" w:ascii="仿宋_GB2312" w:hAnsi="微软雅黑" w:eastAsia="仿宋_GB2312" w:cs="宋体"/>
          <w:sz w:val="28"/>
          <w:szCs w:val="28"/>
        </w:rPr>
        <w:t>国家标准《电子信息系统机房设计规范》（GB50174-2008）的规定</w:t>
      </w:r>
      <w:r>
        <w:rPr>
          <w:rFonts w:hint="eastAsia" w:ascii="仿宋_GB2312" w:hAnsi="微软雅黑" w:eastAsia="仿宋_GB2312"/>
          <w:sz w:val="28"/>
          <w:szCs w:val="28"/>
        </w:rPr>
        <w:t>进行装修，配置电气系统、火灾探测器、路由器、交换机、自启动机房专用空调、防火墙、服务器等。网络布线系统应按内、外网分离各布设两条线路。</w:t>
      </w:r>
      <w:bookmarkStart w:id="50" w:name="_Toc364351428"/>
      <w:bookmarkStart w:id="51" w:name="_Toc385920356"/>
      <w:bookmarkStart w:id="52" w:name="_Toc409170050"/>
      <w:bookmarkStart w:id="53" w:name="_Toc402513593"/>
      <w:bookmarkStart w:id="54" w:name="_Toc408323774"/>
      <w:bookmarkStart w:id="55" w:name="_Toc364351427"/>
      <w:bookmarkStart w:id="56" w:name="_Toc377988322"/>
    </w:p>
    <w:p>
      <w:pPr>
        <w:pStyle w:val="10"/>
        <w:jc w:val="left"/>
        <w:rPr>
          <w:rFonts w:hint="eastAsia" w:ascii="仿宋_GB2312" w:hAnsi="微软雅黑" w:eastAsia="仿宋_GB2312"/>
        </w:rPr>
      </w:pPr>
      <w:bookmarkStart w:id="57" w:name="_Toc8384"/>
      <w:bookmarkStart w:id="58" w:name="_Toc421033431"/>
      <w:r>
        <w:rPr>
          <w:rFonts w:hint="eastAsia" w:ascii="仿宋_GB2312" w:hAnsi="微软雅黑" w:eastAsia="仿宋_GB2312"/>
        </w:rPr>
        <w:t xml:space="preserve">1.5.2 </w:t>
      </w:r>
      <w:r>
        <w:rPr>
          <w:rFonts w:hint="eastAsia" w:ascii="仿宋_GB2312" w:hAnsi="微软雅黑" w:eastAsia="仿宋_GB2312"/>
          <w:sz w:val="36"/>
          <w:szCs w:val="36"/>
        </w:rPr>
        <w:t>设计依据</w:t>
      </w:r>
      <w:bookmarkEnd w:id="50"/>
      <w:bookmarkEnd w:id="51"/>
      <w:bookmarkEnd w:id="52"/>
      <w:bookmarkEnd w:id="53"/>
      <w:bookmarkEnd w:id="54"/>
      <w:bookmarkEnd w:id="57"/>
      <w:bookmarkEnd w:id="58"/>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《电子信息系统机房设计规范》 （GB50174-2008）；</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《计算站场地技术条件》（GB2887-89）；</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《计算站场地安全要求》（GB9361-88）；</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《计算机机房活动地板的技术要求》（GB6650-86）；</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《电子计算机机房施工及验收规范》（SJ/T 30003-93）；</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《建筑装饰工程施工及验收规范》（JGJ 73-91）；</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《民用建筑电气设计规范》（JBJ/T16-92）；</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《低压配电装置及线路设计规范》（GBJ54-83）；</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《供配电系统设计规范》（GB50045-92）；</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《不间断电源技术性能标定方法和试验要求》</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《防静电工程技术规程》（J1011-2000）</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 xml:space="preserve">《建筑内部装修设计防火规范》（GB50222-95）；  </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《火灾自动报警系统施工验收规范》GB50116-92）；</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《高层民用建筑设计防火规范》（GB50045-95）；</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《中国采暖通风与空气调节设计规范》GBJ19-87）；</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《建筑及建筑群综合布线系统工程设计规范》（GB/T50311-2000）；</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《信息技术互连国际标准》（ISQ/IEC11801-95）；</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《工业企业通信设计规范》（GBJ42-81）；</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《工业企业通信接地设计规范》（GBJ79-85）；</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《电子设备雷击保护原则》（GB7405-87）</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《建筑物防雷接地设计规范》（GB50057-94）；</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《通信工程电源系统防雷技术规定》（YD5078-98）；</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《安全防范程序与要求》（GA/T75-94）；</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《洁净室施工及验收规范》（TGL 90）；</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《电子计算机场地通用规范》（GB/T2887-2000）</w:t>
      </w:r>
    </w:p>
    <w:p>
      <w:pPr>
        <w:pStyle w:val="16"/>
        <w:spacing w:line="360" w:lineRule="auto"/>
        <w:ind w:firstLine="560"/>
        <w:rPr>
          <w:rFonts w:hint="eastAsia" w:ascii="仿宋_GB2312" w:hAnsi="微软雅黑" w:eastAsia="仿宋_GB2312"/>
          <w:sz w:val="28"/>
          <w:szCs w:val="28"/>
        </w:rPr>
      </w:pPr>
      <w:r>
        <w:rPr>
          <w:rFonts w:hint="eastAsia" w:ascii="仿宋_GB2312" w:hAnsi="微软雅黑" w:eastAsia="仿宋_GB2312"/>
          <w:sz w:val="28"/>
          <w:szCs w:val="28"/>
        </w:rPr>
        <w:t>《建筑与建筑群综合布线系统工程验收规范》</w:t>
      </w:r>
      <w:r>
        <w:rPr>
          <w:rFonts w:hint="eastAsia" w:ascii="仿宋_GB2312" w:hAnsi="微软雅黑" w:eastAsia="仿宋_GB2312"/>
          <w:sz w:val="28"/>
          <w:szCs w:val="28"/>
        </w:rPr>
        <w:tab/>
      </w:r>
      <w:r>
        <w:rPr>
          <w:rFonts w:hint="eastAsia" w:ascii="仿宋_GB2312" w:hAnsi="微软雅黑" w:eastAsia="仿宋_GB2312"/>
          <w:sz w:val="28"/>
          <w:szCs w:val="28"/>
        </w:rPr>
        <w:t>（GB/T2887-2000）</w:t>
      </w:r>
    </w:p>
    <w:p>
      <w:pPr>
        <w:pStyle w:val="10"/>
        <w:jc w:val="left"/>
        <w:rPr>
          <w:rFonts w:hint="eastAsia" w:ascii="仿宋_GB2312" w:hAnsi="微软雅黑" w:eastAsia="仿宋_GB2312"/>
        </w:rPr>
      </w:pPr>
      <w:bookmarkStart w:id="59" w:name="_Toc408323775"/>
      <w:bookmarkStart w:id="60" w:name="_Toc409170051"/>
      <w:bookmarkStart w:id="61" w:name="_Toc30145"/>
      <w:bookmarkStart w:id="62" w:name="_Toc421033432"/>
      <w:r>
        <w:rPr>
          <w:rFonts w:hint="eastAsia" w:ascii="仿宋_GB2312" w:hAnsi="微软雅黑" w:eastAsia="仿宋_GB2312"/>
        </w:rPr>
        <w:t xml:space="preserve">1.5.3 </w:t>
      </w:r>
      <w:r>
        <w:rPr>
          <w:rFonts w:hint="eastAsia" w:ascii="仿宋_GB2312" w:hAnsi="微软雅黑" w:eastAsia="仿宋_GB2312"/>
          <w:sz w:val="36"/>
          <w:szCs w:val="36"/>
        </w:rPr>
        <w:t>建设内容</w:t>
      </w:r>
      <w:bookmarkEnd w:id="55"/>
      <w:bookmarkEnd w:id="56"/>
      <w:bookmarkEnd w:id="59"/>
      <w:bookmarkEnd w:id="60"/>
      <w:bookmarkEnd w:id="61"/>
      <w:bookmarkEnd w:id="62"/>
    </w:p>
    <w:p>
      <w:pPr>
        <w:spacing w:line="360" w:lineRule="auto"/>
        <w:ind w:firstLine="560" w:firstLineChars="200"/>
        <w:rPr>
          <w:rFonts w:hint="eastAsia" w:ascii="仿宋_GB2312" w:hAnsi="微软雅黑" w:eastAsia="仿宋_GB2312" w:cs="宋体"/>
          <w:sz w:val="28"/>
          <w:szCs w:val="28"/>
        </w:rPr>
      </w:pPr>
      <w:r>
        <w:rPr>
          <w:rFonts w:hint="eastAsia" w:ascii="仿宋_GB2312" w:hAnsi="微软雅黑" w:eastAsia="仿宋_GB2312" w:cs="宋体"/>
          <w:sz w:val="28"/>
          <w:szCs w:val="28"/>
        </w:rPr>
        <w:t>基础环境与装修；</w:t>
      </w:r>
    </w:p>
    <w:p>
      <w:pPr>
        <w:spacing w:line="360" w:lineRule="auto"/>
        <w:ind w:firstLine="560" w:firstLineChars="200"/>
        <w:rPr>
          <w:rFonts w:hint="eastAsia" w:ascii="仿宋_GB2312" w:hAnsi="微软雅黑" w:eastAsia="仿宋_GB2312" w:cs="宋体"/>
          <w:sz w:val="28"/>
          <w:szCs w:val="28"/>
        </w:rPr>
      </w:pPr>
      <w:r>
        <w:rPr>
          <w:rFonts w:hint="eastAsia" w:ascii="仿宋_GB2312" w:hAnsi="微软雅黑" w:eastAsia="仿宋_GB2312" w:cs="宋体"/>
          <w:sz w:val="28"/>
          <w:szCs w:val="28"/>
        </w:rPr>
        <w:t>电气子系统，包括基础供配电设施、UPS电源；</w:t>
      </w:r>
    </w:p>
    <w:p>
      <w:pPr>
        <w:spacing w:line="360" w:lineRule="auto"/>
        <w:ind w:firstLine="560" w:firstLineChars="200"/>
        <w:rPr>
          <w:rFonts w:hint="eastAsia" w:ascii="仿宋_GB2312" w:hAnsi="微软雅黑" w:eastAsia="仿宋_GB2312" w:cs="宋体"/>
          <w:sz w:val="28"/>
          <w:szCs w:val="28"/>
        </w:rPr>
      </w:pPr>
      <w:r>
        <w:rPr>
          <w:rFonts w:hint="eastAsia" w:ascii="仿宋_GB2312" w:hAnsi="微软雅黑" w:eastAsia="仿宋_GB2312" w:cs="宋体"/>
          <w:sz w:val="28"/>
          <w:szCs w:val="28"/>
        </w:rPr>
        <w:t>空调与新风子系统；</w:t>
      </w:r>
    </w:p>
    <w:p>
      <w:pPr>
        <w:spacing w:line="360" w:lineRule="auto"/>
        <w:ind w:firstLine="560" w:firstLineChars="200"/>
        <w:rPr>
          <w:rFonts w:hint="eastAsia" w:ascii="仿宋_GB2312" w:hAnsi="微软雅黑" w:eastAsia="仿宋_GB2312" w:cs="宋体"/>
          <w:sz w:val="28"/>
          <w:szCs w:val="28"/>
        </w:rPr>
      </w:pPr>
      <w:r>
        <w:rPr>
          <w:rFonts w:hint="eastAsia" w:ascii="仿宋_GB2312" w:hAnsi="微软雅黑" w:eastAsia="仿宋_GB2312" w:cs="宋体"/>
          <w:sz w:val="28"/>
          <w:szCs w:val="28"/>
        </w:rPr>
        <w:t>综合布线子系统，包括机房六类布线、光纤布线及同轴电缆布线系统；</w:t>
      </w:r>
    </w:p>
    <w:p>
      <w:pPr>
        <w:spacing w:line="360" w:lineRule="auto"/>
        <w:ind w:firstLine="560" w:firstLineChars="200"/>
        <w:rPr>
          <w:rFonts w:hint="eastAsia" w:ascii="仿宋_GB2312" w:hAnsi="微软雅黑" w:eastAsia="仿宋_GB2312" w:cs="宋体"/>
          <w:sz w:val="28"/>
          <w:szCs w:val="28"/>
        </w:rPr>
      </w:pPr>
      <w:r>
        <w:rPr>
          <w:rFonts w:hint="eastAsia" w:ascii="仿宋_GB2312" w:hAnsi="微软雅黑" w:eastAsia="仿宋_GB2312" w:cs="宋体"/>
          <w:sz w:val="28"/>
          <w:szCs w:val="28"/>
        </w:rPr>
        <w:t>KVM集中控制管理子系统；</w:t>
      </w:r>
    </w:p>
    <w:p>
      <w:pPr>
        <w:spacing w:line="360" w:lineRule="auto"/>
        <w:ind w:firstLine="560" w:firstLineChars="200"/>
        <w:rPr>
          <w:rFonts w:hint="eastAsia" w:ascii="仿宋_GB2312" w:hAnsi="微软雅黑" w:eastAsia="仿宋_GB2312" w:cs="宋体"/>
          <w:sz w:val="28"/>
          <w:szCs w:val="28"/>
        </w:rPr>
      </w:pPr>
      <w:r>
        <w:rPr>
          <w:rFonts w:hint="eastAsia" w:ascii="仿宋_GB2312" w:hAnsi="微软雅黑" w:eastAsia="仿宋_GB2312" w:cs="宋体"/>
          <w:sz w:val="28"/>
          <w:szCs w:val="28"/>
        </w:rPr>
        <w:t>机房设备及环境监控子系统；</w:t>
      </w:r>
    </w:p>
    <w:p>
      <w:pPr>
        <w:spacing w:line="360" w:lineRule="auto"/>
        <w:ind w:firstLine="560" w:firstLineChars="200"/>
        <w:rPr>
          <w:rFonts w:hint="eastAsia" w:ascii="仿宋_GB2312" w:hAnsi="微软雅黑" w:eastAsia="仿宋_GB2312" w:cs="宋体"/>
          <w:sz w:val="28"/>
          <w:szCs w:val="28"/>
        </w:rPr>
      </w:pPr>
      <w:r>
        <w:rPr>
          <w:rFonts w:hint="eastAsia" w:ascii="仿宋_GB2312" w:hAnsi="微软雅黑" w:eastAsia="仿宋_GB2312" w:cs="宋体"/>
          <w:sz w:val="28"/>
          <w:szCs w:val="28"/>
        </w:rPr>
        <w:t>机房安全防范子系统</w:t>
      </w:r>
    </w:p>
    <w:p>
      <w:pPr>
        <w:spacing w:line="360" w:lineRule="auto"/>
        <w:ind w:firstLine="560" w:firstLineChars="200"/>
        <w:rPr>
          <w:rFonts w:hint="eastAsia" w:ascii="仿宋_GB2312" w:hAnsi="微软雅黑" w:eastAsia="仿宋_GB2312" w:cs="宋体"/>
          <w:sz w:val="28"/>
          <w:szCs w:val="28"/>
        </w:rPr>
      </w:pPr>
      <w:r>
        <w:rPr>
          <w:rFonts w:hint="eastAsia" w:ascii="仿宋_GB2312" w:hAnsi="微软雅黑" w:eastAsia="仿宋_GB2312" w:cs="宋体"/>
          <w:sz w:val="28"/>
          <w:szCs w:val="28"/>
        </w:rPr>
        <w:t>消防子系统，包括火灾自动报警系统、气体自动灭火系统。</w:t>
      </w:r>
    </w:p>
    <w:p>
      <w:pPr>
        <w:spacing w:line="360" w:lineRule="auto"/>
        <w:ind w:firstLine="560" w:firstLineChars="200"/>
        <w:rPr>
          <w:rFonts w:hint="eastAsia" w:ascii="仿宋_GB2312" w:hAnsi="微软雅黑" w:eastAsia="仿宋_GB2312" w:cs="宋体"/>
          <w:sz w:val="28"/>
          <w:szCs w:val="28"/>
        </w:rPr>
      </w:pPr>
    </w:p>
    <w:p>
      <w:pPr>
        <w:pStyle w:val="10"/>
        <w:jc w:val="left"/>
        <w:rPr>
          <w:rFonts w:hint="eastAsia" w:ascii="仿宋_GB2312" w:hAnsi="微软雅黑" w:eastAsia="仿宋_GB2312"/>
        </w:rPr>
      </w:pPr>
      <w:bookmarkStart w:id="63" w:name="_Toc421033437"/>
      <w:bookmarkStart w:id="64" w:name="_Toc18556"/>
      <w:bookmarkStart w:id="65" w:name="_Toc384592751"/>
      <w:bookmarkStart w:id="66" w:name="_Toc395886816"/>
      <w:r>
        <w:rPr>
          <w:rFonts w:hint="eastAsia" w:ascii="仿宋_GB2312" w:hAnsi="微软雅黑" w:eastAsia="仿宋_GB2312"/>
        </w:rPr>
        <w:t>二、IDC机房UPS供电系统解决方案</w:t>
      </w:r>
      <w:bookmarkEnd w:id="63"/>
      <w:bookmarkEnd w:id="64"/>
    </w:p>
    <w:p>
      <w:pPr>
        <w:pStyle w:val="10"/>
        <w:jc w:val="left"/>
        <w:rPr>
          <w:rFonts w:hint="eastAsia" w:ascii="仿宋_GB2312" w:hAnsi="微软雅黑" w:eastAsia="仿宋_GB2312"/>
        </w:rPr>
      </w:pPr>
      <w:bookmarkStart w:id="67" w:name="_Toc7981"/>
      <w:r>
        <w:rPr>
          <w:rFonts w:hint="eastAsia" w:ascii="仿宋_GB2312" w:hAnsi="微软雅黑" w:eastAsia="仿宋_GB2312"/>
        </w:rPr>
        <w:t>2.1 UPS</w:t>
      </w:r>
      <w:r>
        <w:rPr>
          <w:rFonts w:hint="eastAsia" w:ascii="仿宋_GB2312" w:hAnsi="微软雅黑" w:eastAsia="仿宋_GB2312"/>
          <w:sz w:val="36"/>
          <w:szCs w:val="36"/>
        </w:rPr>
        <w:t>不间断电源</w:t>
      </w:r>
      <w:bookmarkEnd w:id="67"/>
    </w:p>
    <w:p>
      <w:pPr>
        <w:pStyle w:val="6"/>
        <w:spacing w:after="0"/>
        <w:ind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UPS不间断电源供电系统是采用蓄电池通过逆变的方式供电给后端负载。平时处于在线式滤波稳压工作方式，停电后起动电池组逆变供电给负载。</w:t>
      </w:r>
    </w:p>
    <w:p>
      <w:pPr>
        <w:pStyle w:val="6"/>
        <w:spacing w:after="0"/>
        <w:ind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不间断供电时间要求达到2小时以上，并设并机旁路开关，在主机出现故障时能够将电路不间断地转为市电供电。系统构架示意如上所示：</w:t>
      </w:r>
    </w:p>
    <w:p>
      <w:pPr>
        <w:pStyle w:val="6"/>
        <w:spacing w:after="0"/>
        <w:rPr>
          <w:rFonts w:hint="eastAsia" w:ascii="仿宋_GB2312" w:hAnsi="微软雅黑" w:eastAsia="仿宋_GB2312"/>
          <w:sz w:val="28"/>
          <w:szCs w:val="28"/>
        </w:rPr>
      </w:pPr>
      <w:r>
        <w:rPr>
          <w:rFonts w:hint="eastAsia" w:ascii="仿宋_GB2312" w:hAnsi="微软雅黑" w:eastAsia="仿宋_GB2312"/>
          <w:sz w:val="28"/>
          <w:szCs w:val="28"/>
        </w:rPr>
        <w:t>各机房供电系统设计</w:t>
      </w:r>
    </w:p>
    <w:p>
      <w:pPr>
        <w:pStyle w:val="6"/>
        <w:spacing w:after="0"/>
        <w:rPr>
          <w:rFonts w:hint="eastAsia" w:ascii="仿宋_GB2312" w:hAnsi="微软雅黑" w:eastAsia="仿宋_GB2312"/>
          <w:sz w:val="28"/>
          <w:szCs w:val="28"/>
        </w:rPr>
      </w:pPr>
      <w:r>
        <w:rPr>
          <w:rFonts w:hint="eastAsia" w:ascii="仿宋_GB2312" w:hAnsi="微软雅黑" w:eastAsia="仿宋_GB2312"/>
          <w:sz w:val="28"/>
          <w:szCs w:val="28"/>
        </w:rPr>
        <w:drawing>
          <wp:anchor distT="0" distB="0" distL="114300" distR="114300" simplePos="0" relativeHeight="251659264" behindDoc="1" locked="0" layoutInCell="1" allowOverlap="1">
            <wp:simplePos x="0" y="0"/>
            <wp:positionH relativeFrom="column">
              <wp:posOffset>914400</wp:posOffset>
            </wp:positionH>
            <wp:positionV relativeFrom="paragraph">
              <wp:posOffset>110490</wp:posOffset>
            </wp:positionV>
            <wp:extent cx="4524375" cy="2447925"/>
            <wp:effectExtent l="0" t="0" r="9525" b="9525"/>
            <wp:wrapTight wrapText="bothSides">
              <wp:wrapPolygon>
                <wp:start x="0" y="0"/>
                <wp:lineTo x="0" y="21516"/>
                <wp:lineTo x="21555" y="21516"/>
                <wp:lineTo x="21555" y="0"/>
                <wp:lineTo x="0" y="0"/>
              </wp:wrapPolygon>
            </wp:wrapTight>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7"/>
                    <a:stretch>
                      <a:fillRect/>
                    </a:stretch>
                  </pic:blipFill>
                  <pic:spPr>
                    <a:xfrm>
                      <a:off x="0" y="0"/>
                      <a:ext cx="4524375" cy="2447925"/>
                    </a:xfrm>
                    <a:prstGeom prst="rect">
                      <a:avLst/>
                    </a:prstGeom>
                    <a:noFill/>
                    <a:ln w="9525">
                      <a:noFill/>
                    </a:ln>
                  </pic:spPr>
                </pic:pic>
              </a:graphicData>
            </a:graphic>
          </wp:anchor>
        </w:drawing>
      </w:r>
      <w:r>
        <w:rPr>
          <w:rFonts w:hint="eastAsia" w:ascii="仿宋_GB2312" w:hAnsi="微软雅黑" w:eastAsia="仿宋_GB2312"/>
          <w:sz w:val="28"/>
          <w:szCs w:val="28"/>
        </w:rPr>
        <w:t>各网络机房和监控机房都采用UPS供电。各系统的良好运行有赖于其核心设备供电质量的保证。因此，该机房供电系统建议采用市电、发电双路接线引入，自投自复，并辅以在线式UPS不间断电源的供电方式。核心设备全部采用UPS不间断电源供电，附属设备（如电视墙、照明用电、维护插座等）采用普通市电供电。</w:t>
      </w:r>
    </w:p>
    <w:p>
      <w:pPr>
        <w:pStyle w:val="6"/>
        <w:spacing w:after="0"/>
        <w:ind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UPS不间断电源系统的后备电池容量选择确定，应以保证停电到发电时间及异常情况下设备运行的要求。此外须提供一路供电回路接入考务中心专用供电系统，为机房设备提供电源供电保障。</w:t>
      </w:r>
    </w:p>
    <w:p>
      <w:pPr>
        <w:pStyle w:val="10"/>
        <w:jc w:val="left"/>
        <w:rPr>
          <w:rFonts w:hint="eastAsia" w:ascii="仿宋_GB2312" w:hAnsi="微软雅黑" w:eastAsia="仿宋_GB2312"/>
        </w:rPr>
      </w:pPr>
      <w:bookmarkStart w:id="68" w:name="_Toc15003"/>
      <w:r>
        <w:rPr>
          <w:rFonts w:hint="eastAsia" w:ascii="仿宋_GB2312" w:hAnsi="微软雅黑" w:eastAsia="仿宋_GB2312"/>
        </w:rPr>
        <w:t xml:space="preserve">2.2 </w:t>
      </w:r>
      <w:r>
        <w:rPr>
          <w:rFonts w:hint="eastAsia" w:ascii="仿宋_GB2312" w:hAnsi="微软雅黑" w:eastAsia="仿宋_GB2312"/>
          <w:sz w:val="36"/>
          <w:szCs w:val="36"/>
        </w:rPr>
        <w:t>计算机中心机房供电系统</w:t>
      </w:r>
      <w:bookmarkEnd w:id="68"/>
    </w:p>
    <w:p>
      <w:pPr>
        <w:pStyle w:val="6"/>
        <w:spacing w:after="0"/>
        <w:ind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计算机中心机房供电系统是三个机房中的重点，因其不仅肩负着计算机网络系统中心设备的供电工作，此外智能弱电系统、计算机网络的配电、重要办公室等场所的UPS不间断电源供电均须由计算机中心机房供电系统提供。因此，计算机中心机房供电系统的设计须全面考虑各供电回路及负载的情况，以确保所供电系统的安全稳定的运行。</w:t>
      </w:r>
    </w:p>
    <w:p>
      <w:pPr>
        <w:pStyle w:val="10"/>
        <w:jc w:val="left"/>
        <w:rPr>
          <w:rFonts w:hint="eastAsia" w:ascii="仿宋_GB2312" w:hAnsi="微软雅黑" w:eastAsia="仿宋_GB2312"/>
        </w:rPr>
      </w:pPr>
      <w:bookmarkStart w:id="69" w:name="_Toc26621"/>
      <w:bookmarkStart w:id="70" w:name="_Toc141950328"/>
      <w:bookmarkStart w:id="71" w:name="_Toc204490346"/>
      <w:r>
        <w:rPr>
          <w:rFonts w:hint="eastAsia" w:ascii="仿宋_GB2312" w:hAnsi="微软雅黑" w:eastAsia="仿宋_GB2312"/>
        </w:rPr>
        <w:t xml:space="preserve">2.3 </w:t>
      </w:r>
      <w:r>
        <w:rPr>
          <w:rFonts w:hint="eastAsia" w:ascii="仿宋_GB2312" w:hAnsi="微软雅黑" w:eastAsia="仿宋_GB2312"/>
          <w:sz w:val="36"/>
          <w:szCs w:val="36"/>
        </w:rPr>
        <w:t>机房配电工程施工要求</w:t>
      </w:r>
      <w:bookmarkEnd w:id="69"/>
      <w:bookmarkEnd w:id="70"/>
      <w:bookmarkEnd w:id="71"/>
    </w:p>
    <w:p>
      <w:pPr>
        <w:pStyle w:val="9"/>
        <w:ind w:left="140" w:firstLine="280" w:firstLineChars="100"/>
        <w:rPr>
          <w:rFonts w:hint="eastAsia" w:ascii="仿宋_GB2312" w:hAnsi="微软雅黑" w:eastAsia="仿宋_GB2312"/>
          <w:sz w:val="28"/>
          <w:szCs w:val="28"/>
        </w:rPr>
      </w:pPr>
      <w:r>
        <w:rPr>
          <w:rFonts w:hint="eastAsia" w:ascii="仿宋_GB2312" w:hAnsi="微软雅黑" w:eastAsia="仿宋_GB2312"/>
          <w:sz w:val="28"/>
          <w:szCs w:val="28"/>
        </w:rPr>
        <w:t>计算机类供电线路选择</w:t>
      </w:r>
    </w:p>
    <w:p>
      <w:pPr>
        <w:pStyle w:val="9"/>
        <w:ind w:left="0"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中心机房安装有许多数字电路类型的设备，对于计算机类型的负载而言，其电源多为开关电源型负载，如程控用户交换机、计算机及其网络互连设备、UPS电源逆变系统等，其功率因数为0.6左右，电流呈脉冲型。而普通市电电源带这类负载时，其中电流的三次谐波（150Hz）分量为基波（50Hz）分量的60%。</w:t>
      </w:r>
    </w:p>
    <w:p>
      <w:pPr>
        <w:pStyle w:val="6"/>
        <w:spacing w:after="0"/>
        <w:ind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一般情况下，对电阻性负载来说，在三相负载平衡时，三相四线回路中中性线电流为零。这是因为三相相位差1200 ，三相基波（50Hz）和偶次谐波电流在中性线上叠加并抵消为零，因而中性线电流为零。但150Hz的三相电流正好同相位并相互叠加，因而流过中性线的电流不为零，特别是3n（n=1，3，5，……）次谐波电流，即使三相负载完全平衡，中性线电流相互叠加后幅值增大，可达相电流的1.8倍。而负载功率越小、倍数越大。中性线电流大，就要求中性线截面积不得小于相线截面积。</w:t>
      </w:r>
    </w:p>
    <w:p>
      <w:pPr>
        <w:pStyle w:val="6"/>
        <w:spacing w:after="0"/>
        <w:ind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因此，在设计时必须针对计算机等数字开关电路的特点，重点考虑中性线电流异常增大的问题。因中性线电流增大将导致零地电压偏高，直接影响设备的运行安全，设计供电线路时则应加大供电线路的中性线截面积，以降低中性线的线路损耗电压（即零地电压），以保证设备的正常运行。</w:t>
      </w:r>
    </w:p>
    <w:p>
      <w:pPr>
        <w:pStyle w:val="6"/>
        <w:spacing w:after="0"/>
        <w:ind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中心机房配电系统的布线施工范围包括机房配电系统、智能弱电系统独立供电回路的工程施工。其中机房配电系统包括机房空调配电、UPS不间断电源配电、机房市电插座供电。机房网络设备如：磁盘阵列柜、网络设备、电信局节点机、程控交换机设备、控制中心各系统设备的配电，以及专用供电系统布线工程施工。机房供电线路以墙装供电插座为主提供UPS不间断电源接线，同时机房应辅助安装市电电源插座开关，解决机房重要设备安装房间必须有两套电源到位的情况。</w:t>
      </w:r>
    </w:p>
    <w:p>
      <w:pPr>
        <w:pStyle w:val="6"/>
        <w:spacing w:after="0"/>
        <w:ind w:firstLine="560" w:firstLineChars="200"/>
        <w:rPr>
          <w:rFonts w:hint="eastAsia" w:ascii="仿宋_GB2312" w:hAnsi="微软雅黑" w:eastAsia="仿宋_GB2312" w:cs="宋体"/>
          <w:kern w:val="0"/>
          <w:sz w:val="28"/>
          <w:szCs w:val="28"/>
        </w:rPr>
      </w:pPr>
      <w:r>
        <w:rPr>
          <w:rFonts w:hint="eastAsia" w:ascii="仿宋_GB2312" w:hAnsi="微软雅黑" w:eastAsia="仿宋_GB2312"/>
          <w:sz w:val="28"/>
          <w:szCs w:val="28"/>
        </w:rPr>
        <w:t>供电线路的敷设安装要与网络线缆的走线相隔一定的距离，以免产生干扰。本设计内已经充分考虑了这种情况，线缆布线方式：机房内采用静电地板下敷设铁皮线槽或穿镀锌管方式布线。</w:t>
      </w:r>
    </w:p>
    <w:p>
      <w:pPr>
        <w:pStyle w:val="10"/>
        <w:jc w:val="left"/>
        <w:rPr>
          <w:rFonts w:hint="eastAsia" w:ascii="仿宋_GB2312" w:hAnsi="微软雅黑" w:eastAsia="仿宋_GB2312"/>
        </w:rPr>
      </w:pPr>
      <w:bookmarkStart w:id="72" w:name="_Toc421033438"/>
      <w:bookmarkStart w:id="73" w:name="_Toc1606"/>
      <w:r>
        <w:rPr>
          <w:rFonts w:hint="eastAsia" w:ascii="仿宋_GB2312" w:hAnsi="微软雅黑" w:eastAsia="仿宋_GB2312"/>
        </w:rPr>
        <w:t>三、</w:t>
      </w:r>
      <w:r>
        <w:rPr>
          <w:rFonts w:hint="eastAsia" w:ascii="仿宋_GB2312" w:hAnsi="微软雅黑" w:eastAsia="仿宋_GB2312"/>
          <w:sz w:val="36"/>
          <w:szCs w:val="36"/>
        </w:rPr>
        <w:t>安防监控</w:t>
      </w:r>
      <w:bookmarkEnd w:id="72"/>
      <w:bookmarkEnd w:id="73"/>
    </w:p>
    <w:p>
      <w:pPr>
        <w:pStyle w:val="10"/>
        <w:jc w:val="left"/>
        <w:rPr>
          <w:rFonts w:hint="eastAsia" w:ascii="仿宋_GB2312" w:hAnsi="微软雅黑" w:eastAsia="仿宋_GB2312"/>
        </w:rPr>
      </w:pPr>
      <w:bookmarkStart w:id="74" w:name="_Toc421033439"/>
      <w:bookmarkStart w:id="75" w:name="_Toc1996"/>
      <w:r>
        <w:rPr>
          <w:rFonts w:hint="eastAsia" w:ascii="仿宋_GB2312" w:hAnsi="微软雅黑" w:eastAsia="仿宋_GB2312"/>
        </w:rPr>
        <w:t>3.1</w:t>
      </w:r>
      <w:r>
        <w:rPr>
          <w:rFonts w:hint="eastAsia" w:ascii="仿宋_GB2312" w:hAnsi="微软雅黑" w:eastAsia="仿宋_GB2312"/>
          <w:sz w:val="36"/>
          <w:szCs w:val="36"/>
        </w:rPr>
        <w:t>系统概述</w:t>
      </w:r>
      <w:bookmarkEnd w:id="65"/>
      <w:bookmarkEnd w:id="66"/>
      <w:bookmarkEnd w:id="74"/>
      <w:bookmarkEnd w:id="75"/>
    </w:p>
    <w:p>
      <w:pPr>
        <w:pStyle w:val="10"/>
        <w:jc w:val="left"/>
        <w:rPr>
          <w:rFonts w:hint="eastAsia" w:ascii="仿宋_GB2312" w:hAnsi="微软雅黑" w:eastAsia="仿宋_GB2312"/>
        </w:rPr>
      </w:pPr>
      <w:bookmarkStart w:id="76" w:name="_Toc384592752"/>
      <w:bookmarkStart w:id="77" w:name="_Toc395886817"/>
      <w:bookmarkStart w:id="78" w:name="_Toc421033440"/>
      <w:r>
        <w:rPr>
          <w:rFonts w:hint="eastAsia" w:ascii="仿宋_GB2312" w:hAnsi="微软雅黑" w:eastAsia="仿宋_GB2312"/>
        </w:rPr>
        <w:t>3.1.1项目背景</w:t>
      </w:r>
      <w:bookmarkEnd w:id="76"/>
      <w:bookmarkEnd w:id="77"/>
      <w:bookmarkEnd w:id="78"/>
    </w:p>
    <w:p>
      <w:pPr>
        <w:pStyle w:val="17"/>
        <w:ind w:firstLine="560"/>
        <w:rPr>
          <w:rFonts w:hint="eastAsia" w:ascii="仿宋_GB2312" w:hAnsi="微软雅黑" w:eastAsia="仿宋_GB2312"/>
          <w:sz w:val="28"/>
          <w:szCs w:val="28"/>
        </w:rPr>
      </w:pPr>
      <w:r>
        <w:rPr>
          <w:rFonts w:hint="eastAsia" w:ascii="仿宋_GB2312" w:hAnsi="微软雅黑" w:eastAsia="仿宋_GB2312"/>
          <w:sz w:val="28"/>
          <w:szCs w:val="28"/>
        </w:rPr>
        <w:t> 随着建设的逐步推进，许昌监管场所监管场所也在飞速发展，随着带来的问题就是繁重的监管压力。如何通过技术手段来提高园区的监控管理水平已成为监管技术研究的重点。物联网的出现为监管提供了一种新的有效的技术手段。物联网基于网络实现了对人、物的</w:t>
      </w:r>
      <w:r>
        <w:rPr>
          <w:rFonts w:hint="eastAsia" w:ascii="仿宋_GB2312" w:hAnsi="微软雅黑" w:eastAsia="仿宋_GB2312" w:cs="Times New Roman"/>
          <w:sz w:val="28"/>
          <w:szCs w:val="28"/>
        </w:rPr>
        <w:t>WWW</w:t>
      </w:r>
      <w:r>
        <w:rPr>
          <w:rFonts w:hint="eastAsia" w:ascii="仿宋_GB2312" w:hAnsi="微软雅黑" w:eastAsia="仿宋_GB2312"/>
          <w:sz w:val="28"/>
          <w:szCs w:val="28"/>
        </w:rPr>
        <w:t>（</w:t>
      </w:r>
      <w:r>
        <w:rPr>
          <w:rFonts w:hint="eastAsia" w:ascii="仿宋_GB2312" w:hAnsi="微软雅黑" w:eastAsia="仿宋_GB2312" w:cs="Times New Roman"/>
          <w:sz w:val="28"/>
          <w:szCs w:val="28"/>
        </w:rPr>
        <w:t>Who，Where，When</w:t>
      </w:r>
      <w:r>
        <w:rPr>
          <w:rFonts w:hint="eastAsia" w:ascii="仿宋_GB2312" w:hAnsi="微软雅黑" w:eastAsia="仿宋_GB2312"/>
          <w:sz w:val="28"/>
          <w:szCs w:val="28"/>
        </w:rPr>
        <w:t>）管理。通过在区域车辆出入口布置车辆抓拍识别系统，对进出园区内的车辆进行抓拍，并在后端进行智能化比对分析，防止非法人员和车辆进出园区。并可通过在园区周界部署智能视频分析系统实现对周界区域的警戒监控，防止非法人员通过周界围墙走私货物。</w:t>
      </w:r>
    </w:p>
    <w:p>
      <w:pPr>
        <w:pStyle w:val="18"/>
        <w:ind w:firstLine="560"/>
        <w:rPr>
          <w:rFonts w:hint="eastAsia" w:ascii="仿宋_GB2312" w:hAnsi="微软雅黑" w:eastAsia="仿宋_GB2312"/>
          <w:kern w:val="0"/>
          <w:sz w:val="28"/>
          <w:szCs w:val="28"/>
        </w:rPr>
      </w:pPr>
    </w:p>
    <w:p>
      <w:pPr>
        <w:pStyle w:val="10"/>
        <w:jc w:val="left"/>
        <w:rPr>
          <w:rFonts w:hint="eastAsia" w:ascii="仿宋_GB2312" w:hAnsi="微软雅黑" w:eastAsia="仿宋_GB2312"/>
        </w:rPr>
      </w:pPr>
      <w:bookmarkStart w:id="79" w:name="_Toc384592753"/>
      <w:bookmarkStart w:id="80" w:name="_Toc395886818"/>
      <w:bookmarkStart w:id="81" w:name="_Toc421033441"/>
      <w:r>
        <w:rPr>
          <w:rFonts w:hint="eastAsia" w:ascii="仿宋_GB2312" w:hAnsi="微软雅黑" w:eastAsia="仿宋_GB2312"/>
        </w:rPr>
        <w:t>3.1.2建设目标</w:t>
      </w:r>
      <w:bookmarkEnd w:id="79"/>
      <w:bookmarkEnd w:id="80"/>
      <w:bookmarkEnd w:id="81"/>
    </w:p>
    <w:p>
      <w:pPr>
        <w:pStyle w:val="17"/>
        <w:ind w:firstLine="560"/>
        <w:rPr>
          <w:rFonts w:hint="eastAsia" w:ascii="仿宋_GB2312" w:hAnsi="微软雅黑" w:eastAsia="仿宋_GB2312"/>
          <w:sz w:val="28"/>
          <w:szCs w:val="28"/>
        </w:rPr>
      </w:pPr>
      <w:r>
        <w:rPr>
          <w:rFonts w:hint="eastAsia" w:ascii="仿宋_GB2312" w:hAnsi="微软雅黑" w:eastAsia="仿宋_GB2312"/>
          <w:sz w:val="28"/>
          <w:szCs w:val="28"/>
        </w:rPr>
        <w:t>园区安防管理系统是一个多学科多功能的技术防范管理体系，其建设和发展应与管理信息化、安防智能化、办公自动化紧密结合，为打造监管奠定良好的基础。</w:t>
      </w:r>
    </w:p>
    <w:p>
      <w:pPr>
        <w:pStyle w:val="17"/>
        <w:ind w:firstLine="560"/>
        <w:rPr>
          <w:rFonts w:hint="eastAsia" w:ascii="仿宋_GB2312" w:hAnsi="微软雅黑" w:eastAsia="仿宋_GB2312"/>
          <w:sz w:val="28"/>
          <w:szCs w:val="28"/>
        </w:rPr>
      </w:pPr>
      <w:r>
        <w:rPr>
          <w:rFonts w:hint="eastAsia" w:ascii="仿宋_GB2312" w:hAnsi="微软雅黑" w:eastAsia="仿宋_GB2312"/>
          <w:sz w:val="28"/>
          <w:szCs w:val="28"/>
        </w:rPr>
        <w:t>园区安防管理系统建设的最终目标是实现以物联网信息技术为支撑，建成覆盖整个园区的网络互联互通、信息资源共享、标准规范统一、应用功能完备的园区信息化体系，明显提高园区信息资源综合开发利用水平，形成全员应用、资源共享的信息化工作格局，实现对园区人员、车辆的实时监控，提升园区快速反应能力和突发事件应对能力，形成园区科学管理和高效监管的新机制，确保园区持续安全稳定。</w:t>
      </w:r>
    </w:p>
    <w:p>
      <w:pPr>
        <w:pStyle w:val="17"/>
        <w:ind w:firstLine="560"/>
        <w:rPr>
          <w:rFonts w:hint="eastAsia" w:ascii="仿宋_GB2312" w:hAnsi="微软雅黑" w:eastAsia="仿宋_GB2312"/>
          <w:sz w:val="28"/>
          <w:szCs w:val="28"/>
        </w:rPr>
      </w:pPr>
      <w:r>
        <w:rPr>
          <w:rFonts w:hint="eastAsia" w:ascii="仿宋_GB2312" w:hAnsi="微软雅黑" w:eastAsia="仿宋_GB2312"/>
          <w:sz w:val="28"/>
          <w:szCs w:val="28"/>
        </w:rPr>
        <w:t>园区安防管理系统的建设目标，是建设一个以电子地图导航为基础，以报警联动应用为核心，建设以园区监控管理、车辆安全管理、违禁物品管理、周界防范管理等各个技防管理手段为一体的综合性集成系统。同时，融合先进的物联网技术、视频质量诊断、网络运维管理等前瞻性应用技术，为园区安防管理系统向网络化、智能化、一体化发展奠定技术基础，推动园区安全保卫向安防智能化、管理信息化、应急处置高效化的目标迈进。项目分为两期建设，此次为一期建设，一期只需实现基本的安全功能，但要考虑后续的扩展及使用，预留相应的接口，平台设计等。</w:t>
      </w:r>
    </w:p>
    <w:p>
      <w:pPr>
        <w:pStyle w:val="10"/>
        <w:jc w:val="left"/>
        <w:rPr>
          <w:rFonts w:hint="eastAsia" w:ascii="仿宋_GB2312" w:hAnsi="微软雅黑" w:eastAsia="仿宋_GB2312"/>
        </w:rPr>
      </w:pPr>
      <w:bookmarkStart w:id="82" w:name="_Toc384592754"/>
      <w:bookmarkStart w:id="83" w:name="_Toc395886819"/>
      <w:bookmarkStart w:id="84" w:name="_Toc421033442"/>
      <w:r>
        <w:rPr>
          <w:rFonts w:hint="eastAsia" w:ascii="仿宋_GB2312" w:hAnsi="微软雅黑" w:eastAsia="仿宋_GB2312"/>
        </w:rPr>
        <w:t>3.1.3</w:t>
      </w:r>
      <w:r>
        <w:rPr>
          <w:rFonts w:hint="eastAsia" w:ascii="仿宋_GB2312" w:hAnsi="微软雅黑" w:eastAsia="仿宋_GB2312"/>
          <w:sz w:val="36"/>
          <w:szCs w:val="36"/>
        </w:rPr>
        <w:t>设计原则</w:t>
      </w:r>
      <w:bookmarkEnd w:id="82"/>
      <w:bookmarkEnd w:id="83"/>
      <w:bookmarkEnd w:id="84"/>
    </w:p>
    <w:p>
      <w:pPr>
        <w:pStyle w:val="17"/>
        <w:ind w:firstLine="560"/>
        <w:rPr>
          <w:rFonts w:hint="eastAsia" w:ascii="仿宋_GB2312" w:hAnsi="微软雅黑" w:eastAsia="仿宋_GB2312"/>
          <w:sz w:val="28"/>
          <w:szCs w:val="28"/>
        </w:rPr>
      </w:pPr>
      <w:r>
        <w:rPr>
          <w:rFonts w:hint="eastAsia" w:ascii="仿宋_GB2312" w:hAnsi="微软雅黑" w:eastAsia="仿宋_GB2312"/>
          <w:sz w:val="28"/>
          <w:szCs w:val="28"/>
        </w:rPr>
        <w:t>园区安防管理系统的规划设计以应用需求为导向，以物联网应用技术为手段，以智能化安防集成管理为目标。系统的规划建设遵循以下原则：</w:t>
      </w:r>
    </w:p>
    <w:p>
      <w:pPr>
        <w:numPr>
          <w:ilvl w:val="0"/>
          <w:numId w:val="5"/>
        </w:numPr>
        <w:rPr>
          <w:rFonts w:hint="eastAsia" w:ascii="仿宋_GB2312" w:hAnsi="微软雅黑" w:eastAsia="仿宋_GB2312"/>
          <w:b/>
          <w:sz w:val="28"/>
          <w:szCs w:val="28"/>
        </w:rPr>
      </w:pPr>
      <w:r>
        <w:rPr>
          <w:rFonts w:hint="eastAsia" w:ascii="仿宋_GB2312" w:hAnsi="微软雅黑" w:eastAsia="仿宋_GB2312"/>
          <w:b/>
          <w:sz w:val="28"/>
          <w:szCs w:val="28"/>
        </w:rPr>
        <w:t>整体性</w:t>
      </w:r>
    </w:p>
    <w:p>
      <w:pPr>
        <w:ind w:firstLine="420"/>
        <w:rPr>
          <w:rFonts w:hint="eastAsia" w:ascii="仿宋_GB2312" w:hAnsi="微软雅黑" w:eastAsia="仿宋_GB2312"/>
          <w:sz w:val="28"/>
          <w:szCs w:val="28"/>
        </w:rPr>
      </w:pPr>
      <w:r>
        <w:rPr>
          <w:rFonts w:hint="eastAsia" w:ascii="仿宋_GB2312" w:hAnsi="微软雅黑" w:eastAsia="仿宋_GB2312"/>
          <w:sz w:val="28"/>
          <w:szCs w:val="28"/>
        </w:rPr>
        <w:t>系统整体设计应统一规范，功能模块设计必须清晰合理，并能够有效与园区管理相融合，实现园区一体化、自动化管理。</w:t>
      </w:r>
    </w:p>
    <w:p>
      <w:pPr>
        <w:numPr>
          <w:ilvl w:val="0"/>
          <w:numId w:val="5"/>
        </w:numPr>
        <w:rPr>
          <w:rFonts w:hint="eastAsia" w:ascii="仿宋_GB2312" w:hAnsi="微软雅黑" w:eastAsia="仿宋_GB2312"/>
          <w:b/>
          <w:sz w:val="28"/>
          <w:szCs w:val="28"/>
        </w:rPr>
      </w:pPr>
      <w:r>
        <w:rPr>
          <w:rFonts w:hint="eastAsia" w:ascii="仿宋_GB2312" w:hAnsi="微软雅黑" w:eastAsia="仿宋_GB2312"/>
          <w:b/>
          <w:sz w:val="28"/>
          <w:szCs w:val="28"/>
        </w:rPr>
        <w:t>先进性</w:t>
      </w:r>
    </w:p>
    <w:p>
      <w:pPr>
        <w:ind w:firstLine="420"/>
        <w:rPr>
          <w:rFonts w:hint="eastAsia" w:ascii="仿宋_GB2312" w:hAnsi="微软雅黑" w:eastAsia="仿宋_GB2312"/>
          <w:sz w:val="28"/>
          <w:szCs w:val="28"/>
        </w:rPr>
      </w:pPr>
      <w:r>
        <w:rPr>
          <w:rFonts w:hint="eastAsia" w:ascii="仿宋_GB2312" w:hAnsi="微软雅黑" w:eastAsia="仿宋_GB2312"/>
          <w:sz w:val="28"/>
          <w:szCs w:val="28"/>
        </w:rPr>
        <w:t>系统的设计规划应当符合当今计算机应用系统发展趋势的主流技术和思想、技术成熟，通过科学合理地设计，既防止片面追求某一高指标，又充分体现系统的先进性</w:t>
      </w:r>
    </w:p>
    <w:p>
      <w:pPr>
        <w:numPr>
          <w:ilvl w:val="0"/>
          <w:numId w:val="5"/>
        </w:numPr>
        <w:rPr>
          <w:rFonts w:hint="eastAsia" w:ascii="仿宋_GB2312" w:hAnsi="微软雅黑" w:eastAsia="仿宋_GB2312"/>
          <w:b/>
          <w:sz w:val="28"/>
          <w:szCs w:val="28"/>
        </w:rPr>
      </w:pPr>
      <w:r>
        <w:rPr>
          <w:rFonts w:hint="eastAsia" w:ascii="仿宋_GB2312" w:hAnsi="微软雅黑" w:eastAsia="仿宋_GB2312"/>
          <w:b/>
          <w:sz w:val="28"/>
          <w:szCs w:val="28"/>
        </w:rPr>
        <w:t>实用性</w:t>
      </w:r>
    </w:p>
    <w:p>
      <w:pPr>
        <w:ind w:firstLine="420"/>
        <w:rPr>
          <w:rFonts w:hint="eastAsia" w:ascii="仿宋_GB2312" w:hAnsi="微软雅黑" w:eastAsia="仿宋_GB2312"/>
          <w:sz w:val="28"/>
          <w:szCs w:val="28"/>
        </w:rPr>
      </w:pPr>
      <w:r>
        <w:rPr>
          <w:rFonts w:hint="eastAsia" w:ascii="仿宋_GB2312" w:hAnsi="微软雅黑" w:eastAsia="仿宋_GB2312"/>
          <w:sz w:val="28"/>
          <w:szCs w:val="28"/>
        </w:rPr>
        <w:t>系统的设计应该充分考虑园区实际工作特点，已有的软件系统和硬件设备实际要求，使得系统具有很强的实用性。</w:t>
      </w:r>
    </w:p>
    <w:p>
      <w:pPr>
        <w:numPr>
          <w:ilvl w:val="0"/>
          <w:numId w:val="5"/>
        </w:numPr>
        <w:rPr>
          <w:rFonts w:hint="eastAsia" w:ascii="仿宋_GB2312" w:hAnsi="微软雅黑" w:eastAsia="仿宋_GB2312"/>
          <w:b/>
          <w:sz w:val="28"/>
          <w:szCs w:val="28"/>
        </w:rPr>
      </w:pPr>
      <w:r>
        <w:rPr>
          <w:rFonts w:hint="eastAsia" w:ascii="仿宋_GB2312" w:hAnsi="微软雅黑" w:eastAsia="仿宋_GB2312"/>
          <w:b/>
          <w:sz w:val="28"/>
          <w:szCs w:val="28"/>
        </w:rPr>
        <w:t>可靠性</w:t>
      </w:r>
    </w:p>
    <w:p>
      <w:pPr>
        <w:ind w:firstLine="420"/>
        <w:rPr>
          <w:rFonts w:hint="eastAsia" w:ascii="仿宋_GB2312" w:hAnsi="微软雅黑" w:eastAsia="仿宋_GB2312"/>
          <w:sz w:val="28"/>
          <w:szCs w:val="28"/>
        </w:rPr>
      </w:pPr>
      <w:r>
        <w:rPr>
          <w:rFonts w:hint="eastAsia" w:ascii="仿宋_GB2312" w:hAnsi="微软雅黑" w:eastAsia="仿宋_GB2312"/>
          <w:sz w:val="28"/>
          <w:szCs w:val="28"/>
        </w:rPr>
        <w:t>为保证系统最大限度地发挥作用，完成园区工作所需的高可靠性要求，系统的设计必须认真考虑稳定性和可靠性，保证在正常情况和极端情况下的正确性，避免由于单点故障而影响整个系统的正常运行。</w:t>
      </w:r>
    </w:p>
    <w:p>
      <w:pPr>
        <w:numPr>
          <w:ilvl w:val="0"/>
          <w:numId w:val="5"/>
        </w:numPr>
        <w:rPr>
          <w:rFonts w:hint="eastAsia" w:ascii="仿宋_GB2312" w:hAnsi="微软雅黑" w:eastAsia="仿宋_GB2312"/>
          <w:b/>
          <w:sz w:val="28"/>
          <w:szCs w:val="28"/>
        </w:rPr>
      </w:pPr>
      <w:r>
        <w:rPr>
          <w:rFonts w:hint="eastAsia" w:ascii="仿宋_GB2312" w:hAnsi="微软雅黑" w:eastAsia="仿宋_GB2312"/>
          <w:b/>
          <w:sz w:val="28"/>
          <w:szCs w:val="28"/>
        </w:rPr>
        <w:t>安全性</w:t>
      </w:r>
    </w:p>
    <w:p>
      <w:pPr>
        <w:ind w:firstLine="420"/>
        <w:rPr>
          <w:rFonts w:hint="eastAsia" w:ascii="仿宋_GB2312" w:hAnsi="微软雅黑" w:eastAsia="仿宋_GB2312"/>
          <w:sz w:val="28"/>
          <w:szCs w:val="28"/>
        </w:rPr>
      </w:pPr>
      <w:r>
        <w:rPr>
          <w:rFonts w:hint="eastAsia" w:ascii="仿宋_GB2312" w:hAnsi="微软雅黑" w:eastAsia="仿宋_GB2312"/>
          <w:sz w:val="28"/>
          <w:szCs w:val="28"/>
        </w:rPr>
        <w:t>系统的建设需要融合以往建设经验，结合园区工作的具体应用需求，使用具有成熟应用实践的软件平台架构确保系统的健壮性，选用具备高可靠性、高安全性，具有数万小时平均无故障时间的设备，同时为关键设备、关键部件设计冗余备份。建立健全系统安全稳定运行保障机制、建设系统运行故障预案，全方位多角度保障系统的顺利运行。同时，还要考虑对人体的安全。</w:t>
      </w:r>
    </w:p>
    <w:p>
      <w:pPr>
        <w:numPr>
          <w:ilvl w:val="0"/>
          <w:numId w:val="5"/>
        </w:numPr>
        <w:rPr>
          <w:rFonts w:hint="eastAsia" w:ascii="仿宋_GB2312" w:hAnsi="微软雅黑" w:eastAsia="仿宋_GB2312"/>
          <w:b/>
          <w:sz w:val="28"/>
          <w:szCs w:val="28"/>
        </w:rPr>
      </w:pPr>
      <w:r>
        <w:rPr>
          <w:rFonts w:hint="eastAsia" w:ascii="仿宋_GB2312" w:hAnsi="微软雅黑" w:eastAsia="仿宋_GB2312"/>
          <w:b/>
          <w:sz w:val="28"/>
          <w:szCs w:val="28"/>
        </w:rPr>
        <w:t>可伸缩性</w:t>
      </w:r>
    </w:p>
    <w:p>
      <w:pPr>
        <w:ind w:firstLine="420"/>
        <w:rPr>
          <w:rFonts w:hint="eastAsia" w:ascii="仿宋_GB2312" w:hAnsi="微软雅黑" w:eastAsia="仿宋_GB2312"/>
          <w:sz w:val="28"/>
          <w:szCs w:val="28"/>
        </w:rPr>
      </w:pPr>
      <w:r>
        <w:rPr>
          <w:rFonts w:hint="eastAsia" w:ascii="仿宋_GB2312" w:hAnsi="微软雅黑" w:eastAsia="仿宋_GB2312"/>
          <w:sz w:val="28"/>
          <w:szCs w:val="28"/>
        </w:rPr>
        <w:t>当系统容量发生变化时，应能通过在横向和纵向的各个层次的扩充，保证系统合理的响应时间和吞吐量。</w:t>
      </w:r>
    </w:p>
    <w:p>
      <w:pPr>
        <w:numPr>
          <w:ilvl w:val="0"/>
          <w:numId w:val="5"/>
        </w:numPr>
        <w:rPr>
          <w:rFonts w:hint="eastAsia" w:ascii="仿宋_GB2312" w:hAnsi="微软雅黑" w:eastAsia="仿宋_GB2312"/>
          <w:b/>
          <w:sz w:val="28"/>
          <w:szCs w:val="28"/>
        </w:rPr>
      </w:pPr>
      <w:r>
        <w:rPr>
          <w:rFonts w:hint="eastAsia" w:ascii="仿宋_GB2312" w:hAnsi="微软雅黑" w:eastAsia="仿宋_GB2312"/>
          <w:b/>
          <w:sz w:val="28"/>
          <w:szCs w:val="28"/>
        </w:rPr>
        <w:t>易用性</w:t>
      </w:r>
    </w:p>
    <w:p>
      <w:pPr>
        <w:rPr>
          <w:rFonts w:hint="eastAsia" w:ascii="仿宋_GB2312" w:hAnsi="微软雅黑" w:eastAsia="仿宋_GB2312"/>
          <w:sz w:val="28"/>
          <w:szCs w:val="28"/>
        </w:rPr>
      </w:pPr>
      <w:r>
        <w:rPr>
          <w:rFonts w:hint="eastAsia" w:ascii="仿宋_GB2312" w:hAnsi="微软雅黑" w:eastAsia="仿宋_GB2312"/>
          <w:sz w:val="28"/>
          <w:szCs w:val="28"/>
        </w:rPr>
        <w:t>系统应提供具有统一风格、美观的用户界面，用户界面采取动态角色驱动，具有一定的操作流程和便捷实用的使用方法，使用户能用最短的时间掌握操作方法。</w:t>
      </w:r>
    </w:p>
    <w:p>
      <w:pPr>
        <w:numPr>
          <w:ilvl w:val="0"/>
          <w:numId w:val="5"/>
        </w:numPr>
        <w:rPr>
          <w:rFonts w:hint="eastAsia" w:ascii="仿宋_GB2312" w:hAnsi="微软雅黑" w:eastAsia="仿宋_GB2312"/>
          <w:b/>
          <w:sz w:val="28"/>
          <w:szCs w:val="28"/>
        </w:rPr>
      </w:pPr>
      <w:r>
        <w:rPr>
          <w:rFonts w:hint="eastAsia" w:ascii="仿宋_GB2312" w:hAnsi="微软雅黑" w:eastAsia="仿宋_GB2312"/>
          <w:b/>
          <w:sz w:val="28"/>
          <w:szCs w:val="28"/>
        </w:rPr>
        <w:t>可维护性</w:t>
      </w:r>
    </w:p>
    <w:p>
      <w:pPr>
        <w:ind w:firstLine="420"/>
        <w:rPr>
          <w:rFonts w:hint="eastAsia" w:ascii="仿宋_GB2312" w:hAnsi="微软雅黑" w:eastAsia="仿宋_GB2312"/>
          <w:sz w:val="28"/>
          <w:szCs w:val="28"/>
        </w:rPr>
      </w:pPr>
      <w:r>
        <w:rPr>
          <w:rFonts w:hint="eastAsia" w:ascii="仿宋_GB2312" w:hAnsi="微软雅黑" w:eastAsia="仿宋_GB2312"/>
          <w:sz w:val="28"/>
          <w:szCs w:val="28"/>
        </w:rPr>
        <w:t>软件、硬件设备应能够被简单方便地管理、修改和升级。</w:t>
      </w:r>
    </w:p>
    <w:p>
      <w:pPr>
        <w:pStyle w:val="10"/>
        <w:jc w:val="left"/>
        <w:rPr>
          <w:rFonts w:hint="eastAsia" w:ascii="仿宋_GB2312" w:hAnsi="微软雅黑" w:eastAsia="仿宋_GB2312"/>
        </w:rPr>
      </w:pPr>
      <w:bookmarkStart w:id="85" w:name="_Toc384592755"/>
      <w:bookmarkStart w:id="86" w:name="_Toc395886820"/>
      <w:bookmarkStart w:id="87" w:name="_Toc421033443"/>
      <w:bookmarkStart w:id="88" w:name="_Toc16138"/>
      <w:r>
        <w:rPr>
          <w:rFonts w:hint="eastAsia" w:ascii="仿宋_GB2312" w:hAnsi="微软雅黑" w:eastAsia="仿宋_GB2312"/>
        </w:rPr>
        <w:t>3.2</w:t>
      </w:r>
      <w:r>
        <w:rPr>
          <w:rFonts w:hint="eastAsia" w:ascii="仿宋_GB2312" w:hAnsi="微软雅黑" w:eastAsia="仿宋_GB2312"/>
          <w:sz w:val="36"/>
          <w:szCs w:val="36"/>
        </w:rPr>
        <w:t>设计依据</w:t>
      </w:r>
      <w:bookmarkEnd w:id="85"/>
      <w:bookmarkEnd w:id="86"/>
      <w:bookmarkEnd w:id="87"/>
      <w:bookmarkEnd w:id="88"/>
    </w:p>
    <w:p>
      <w:pPr>
        <w:pStyle w:val="19"/>
        <w:ind w:firstLine="560"/>
        <w:rPr>
          <w:rFonts w:hint="eastAsia" w:ascii="仿宋_GB2312" w:hAnsi="微软雅黑" w:eastAsia="仿宋_GB2312"/>
          <w:sz w:val="28"/>
          <w:szCs w:val="28"/>
        </w:rPr>
      </w:pPr>
      <w:r>
        <w:rPr>
          <w:rFonts w:hint="eastAsia" w:ascii="仿宋_GB2312" w:hAnsi="微软雅黑" w:eastAsia="仿宋_GB2312"/>
          <w:sz w:val="28"/>
          <w:szCs w:val="28"/>
        </w:rPr>
        <w:t>本系统的规划设计严格遵循国家有关部门政策法规，以安防监控行业的技术标准为参照标准。本系统涉及的标准规范包括但不限于下表所示的文件规定的标准。</w:t>
      </w:r>
    </w:p>
    <w:tbl>
      <w:tblPr>
        <w:tblStyle w:val="12"/>
        <w:tblW w:w="8370"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709"/>
        <w:gridCol w:w="5107"/>
        <w:gridCol w:w="255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709"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jc w:val="center"/>
              <w:rPr>
                <w:rFonts w:hint="eastAsia" w:ascii="仿宋_GB2312" w:hAnsi="微软雅黑" w:eastAsia="仿宋_GB2312"/>
                <w:b/>
                <w:sz w:val="21"/>
              </w:rPr>
            </w:pPr>
            <w:r>
              <w:rPr>
                <w:rFonts w:hint="eastAsia" w:ascii="仿宋_GB2312" w:hAnsi="微软雅黑" w:eastAsia="仿宋_GB2312"/>
                <w:b/>
                <w:sz w:val="21"/>
              </w:rPr>
              <w:t>序号</w:t>
            </w:r>
          </w:p>
        </w:tc>
        <w:tc>
          <w:tcPr>
            <w:tcW w:w="5107"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jc w:val="center"/>
              <w:rPr>
                <w:rFonts w:hint="eastAsia" w:ascii="仿宋_GB2312" w:hAnsi="微软雅黑" w:eastAsia="仿宋_GB2312"/>
                <w:b/>
                <w:sz w:val="21"/>
              </w:rPr>
            </w:pPr>
            <w:r>
              <w:rPr>
                <w:rFonts w:hint="eastAsia" w:ascii="仿宋_GB2312" w:hAnsi="微软雅黑" w:eastAsia="仿宋_GB2312"/>
                <w:b/>
                <w:sz w:val="21"/>
              </w:rPr>
              <w:t>文件名称</w:t>
            </w:r>
          </w:p>
        </w:tc>
        <w:tc>
          <w:tcPr>
            <w:tcW w:w="2554"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jc w:val="center"/>
              <w:rPr>
                <w:rFonts w:hint="eastAsia" w:ascii="仿宋_GB2312" w:hAnsi="微软雅黑" w:eastAsia="仿宋_GB2312"/>
                <w:b/>
                <w:sz w:val="21"/>
              </w:rPr>
            </w:pPr>
            <w:r>
              <w:rPr>
                <w:rFonts w:hint="eastAsia" w:ascii="仿宋_GB2312" w:hAnsi="微软雅黑" w:eastAsia="仿宋_GB2312"/>
                <w:b/>
                <w:sz w:val="21"/>
              </w:rPr>
              <w:t>文件编号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709"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jc w:val="center"/>
              <w:rPr>
                <w:rFonts w:hint="eastAsia" w:ascii="仿宋_GB2312" w:hAnsi="微软雅黑" w:eastAsia="仿宋_GB2312"/>
                <w:sz w:val="21"/>
              </w:rPr>
            </w:pPr>
            <w:r>
              <w:rPr>
                <w:rFonts w:hint="eastAsia" w:ascii="仿宋_GB2312" w:hAnsi="微软雅黑" w:eastAsia="仿宋_GB2312"/>
                <w:sz w:val="21"/>
              </w:rPr>
              <w:t>1</w:t>
            </w:r>
          </w:p>
        </w:tc>
        <w:tc>
          <w:tcPr>
            <w:tcW w:w="5107"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rPr>
                <w:rFonts w:hint="eastAsia" w:ascii="仿宋_GB2312" w:hAnsi="微软雅黑" w:eastAsia="仿宋_GB2312"/>
                <w:sz w:val="21"/>
              </w:rPr>
            </w:pPr>
            <w:r>
              <w:rPr>
                <w:rFonts w:hint="eastAsia" w:ascii="仿宋_GB2312" w:hAnsi="微软雅黑" w:eastAsia="仿宋_GB2312"/>
                <w:sz w:val="21"/>
              </w:rPr>
              <w:t>《中国人民共和国公共安全行业标准》</w:t>
            </w:r>
          </w:p>
        </w:tc>
        <w:tc>
          <w:tcPr>
            <w:tcW w:w="2554"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rPr>
                <w:rFonts w:hint="eastAsia" w:ascii="仿宋_GB2312" w:hAnsi="微软雅黑" w:eastAsia="仿宋_GB2312"/>
                <w:sz w:val="21"/>
              </w:rPr>
            </w:pPr>
            <w:r>
              <w:rPr>
                <w:rFonts w:hint="eastAsia" w:ascii="仿宋_GB2312" w:hAnsi="微软雅黑" w:eastAsia="仿宋_GB2312"/>
                <w:sz w:val="21"/>
              </w:rPr>
              <w:t>GA/T 70-94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709"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jc w:val="center"/>
              <w:rPr>
                <w:rFonts w:hint="eastAsia" w:ascii="仿宋_GB2312" w:hAnsi="微软雅黑" w:eastAsia="仿宋_GB2312"/>
                <w:sz w:val="21"/>
              </w:rPr>
            </w:pPr>
            <w:r>
              <w:rPr>
                <w:rFonts w:hint="eastAsia" w:ascii="仿宋_GB2312" w:hAnsi="微软雅黑" w:eastAsia="仿宋_GB2312"/>
                <w:sz w:val="21"/>
              </w:rPr>
              <w:t>2</w:t>
            </w:r>
          </w:p>
        </w:tc>
        <w:tc>
          <w:tcPr>
            <w:tcW w:w="5107"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rPr>
                <w:rFonts w:hint="eastAsia" w:ascii="仿宋_GB2312" w:hAnsi="微软雅黑" w:eastAsia="仿宋_GB2312"/>
                <w:sz w:val="21"/>
              </w:rPr>
            </w:pPr>
            <w:r>
              <w:rPr>
                <w:rFonts w:hint="eastAsia" w:ascii="仿宋_GB2312" w:hAnsi="微软雅黑" w:eastAsia="仿宋_GB2312"/>
                <w:sz w:val="21"/>
              </w:rPr>
              <w:t>《中国人民共和国公共安全行业标准》</w:t>
            </w:r>
          </w:p>
        </w:tc>
        <w:tc>
          <w:tcPr>
            <w:tcW w:w="2554"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rPr>
                <w:rFonts w:hint="eastAsia" w:ascii="仿宋_GB2312" w:hAnsi="微软雅黑" w:eastAsia="仿宋_GB2312"/>
                <w:sz w:val="21"/>
              </w:rPr>
            </w:pPr>
            <w:r>
              <w:rPr>
                <w:rFonts w:hint="eastAsia" w:ascii="仿宋_GB2312" w:hAnsi="微软雅黑" w:eastAsia="仿宋_GB2312"/>
                <w:sz w:val="21"/>
              </w:rPr>
              <w:t>GA/T 74-94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709"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jc w:val="center"/>
              <w:rPr>
                <w:rFonts w:hint="eastAsia" w:ascii="仿宋_GB2312" w:hAnsi="微软雅黑" w:eastAsia="仿宋_GB2312"/>
                <w:sz w:val="21"/>
              </w:rPr>
            </w:pPr>
            <w:r>
              <w:rPr>
                <w:rFonts w:hint="eastAsia" w:ascii="仿宋_GB2312" w:hAnsi="微软雅黑" w:eastAsia="仿宋_GB2312"/>
                <w:sz w:val="21"/>
              </w:rPr>
              <w:t>3</w:t>
            </w:r>
          </w:p>
        </w:tc>
        <w:tc>
          <w:tcPr>
            <w:tcW w:w="5107"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rPr>
                <w:rFonts w:hint="eastAsia" w:ascii="仿宋_GB2312" w:hAnsi="微软雅黑" w:eastAsia="仿宋_GB2312"/>
                <w:sz w:val="21"/>
              </w:rPr>
            </w:pPr>
            <w:r>
              <w:rPr>
                <w:rFonts w:hint="eastAsia" w:ascii="仿宋_GB2312" w:hAnsi="微软雅黑" w:eastAsia="仿宋_GB2312"/>
                <w:sz w:val="21"/>
              </w:rPr>
              <w:t>《中国人民共和国公共安全行业标准》</w:t>
            </w:r>
          </w:p>
        </w:tc>
        <w:tc>
          <w:tcPr>
            <w:tcW w:w="2554"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rPr>
                <w:rFonts w:hint="eastAsia" w:ascii="仿宋_GB2312" w:hAnsi="微软雅黑" w:eastAsia="仿宋_GB2312"/>
                <w:sz w:val="21"/>
              </w:rPr>
            </w:pPr>
            <w:r>
              <w:rPr>
                <w:rFonts w:hint="eastAsia" w:ascii="仿宋_GB2312" w:hAnsi="微软雅黑" w:eastAsia="仿宋_GB2312"/>
                <w:sz w:val="21"/>
              </w:rPr>
              <w:t>GA/T 75-94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709"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jc w:val="center"/>
              <w:rPr>
                <w:rFonts w:hint="eastAsia" w:ascii="仿宋_GB2312" w:hAnsi="微软雅黑" w:eastAsia="仿宋_GB2312"/>
                <w:sz w:val="21"/>
              </w:rPr>
            </w:pPr>
            <w:r>
              <w:rPr>
                <w:rFonts w:hint="eastAsia" w:ascii="仿宋_GB2312" w:hAnsi="微软雅黑" w:eastAsia="仿宋_GB2312"/>
                <w:sz w:val="21"/>
              </w:rPr>
              <w:t>4</w:t>
            </w:r>
          </w:p>
        </w:tc>
        <w:tc>
          <w:tcPr>
            <w:tcW w:w="5107"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rPr>
                <w:rFonts w:hint="eastAsia" w:ascii="仿宋_GB2312" w:hAnsi="微软雅黑" w:eastAsia="仿宋_GB2312"/>
                <w:sz w:val="21"/>
              </w:rPr>
            </w:pPr>
            <w:r>
              <w:rPr>
                <w:rFonts w:hint="eastAsia" w:ascii="仿宋_GB2312" w:hAnsi="微软雅黑" w:eastAsia="仿宋_GB2312"/>
                <w:sz w:val="21"/>
              </w:rPr>
              <w:t>《安全防范工程技术规范》</w:t>
            </w:r>
          </w:p>
        </w:tc>
        <w:tc>
          <w:tcPr>
            <w:tcW w:w="2554"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rPr>
                <w:rFonts w:hint="eastAsia" w:ascii="仿宋_GB2312" w:hAnsi="微软雅黑" w:eastAsia="仿宋_GB2312"/>
                <w:sz w:val="21"/>
              </w:rPr>
            </w:pPr>
            <w:r>
              <w:rPr>
                <w:rFonts w:hint="eastAsia" w:ascii="仿宋_GB2312" w:hAnsi="微软雅黑" w:eastAsia="仿宋_GB2312"/>
                <w:sz w:val="21"/>
              </w:rPr>
              <w:t>GB 50348-2004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709"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jc w:val="center"/>
              <w:rPr>
                <w:rFonts w:hint="eastAsia" w:ascii="仿宋_GB2312" w:hAnsi="微软雅黑" w:eastAsia="仿宋_GB2312"/>
                <w:sz w:val="21"/>
              </w:rPr>
            </w:pPr>
            <w:r>
              <w:rPr>
                <w:rFonts w:hint="eastAsia" w:ascii="仿宋_GB2312" w:hAnsi="微软雅黑" w:eastAsia="仿宋_GB2312"/>
                <w:sz w:val="21"/>
              </w:rPr>
              <w:t>5</w:t>
            </w:r>
          </w:p>
        </w:tc>
        <w:tc>
          <w:tcPr>
            <w:tcW w:w="5107"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rPr>
                <w:rFonts w:hint="eastAsia" w:ascii="仿宋_GB2312" w:hAnsi="微软雅黑" w:eastAsia="仿宋_GB2312"/>
                <w:sz w:val="21"/>
              </w:rPr>
            </w:pPr>
            <w:r>
              <w:rPr>
                <w:rFonts w:hint="eastAsia" w:ascii="仿宋_GB2312" w:hAnsi="微软雅黑" w:eastAsia="仿宋_GB2312"/>
                <w:sz w:val="21"/>
              </w:rPr>
              <w:t>《智能建筑设计标准》</w:t>
            </w:r>
          </w:p>
        </w:tc>
        <w:tc>
          <w:tcPr>
            <w:tcW w:w="2554"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rPr>
                <w:rFonts w:hint="eastAsia" w:ascii="仿宋_GB2312" w:hAnsi="微软雅黑" w:eastAsia="仿宋_GB2312"/>
                <w:sz w:val="21"/>
              </w:rPr>
            </w:pPr>
            <w:r>
              <w:rPr>
                <w:rFonts w:hint="eastAsia" w:ascii="仿宋_GB2312" w:hAnsi="微软雅黑" w:eastAsia="仿宋_GB2312"/>
                <w:sz w:val="21"/>
              </w:rPr>
              <w:t>GB/T 50314-2000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709"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jc w:val="center"/>
              <w:rPr>
                <w:rFonts w:hint="eastAsia" w:ascii="仿宋_GB2312" w:hAnsi="微软雅黑" w:eastAsia="仿宋_GB2312"/>
                <w:sz w:val="21"/>
              </w:rPr>
            </w:pPr>
            <w:r>
              <w:rPr>
                <w:rFonts w:hint="eastAsia" w:ascii="仿宋_GB2312" w:hAnsi="微软雅黑" w:eastAsia="仿宋_GB2312"/>
                <w:sz w:val="21"/>
              </w:rPr>
              <w:t>6</w:t>
            </w:r>
          </w:p>
        </w:tc>
        <w:tc>
          <w:tcPr>
            <w:tcW w:w="5107" w:type="dxa"/>
            <w:tcBorders>
              <w:top w:val="single" w:color="000000" w:sz="4" w:space="0"/>
              <w:left w:val="single" w:color="000000" w:sz="4" w:space="0"/>
              <w:bottom w:val="single" w:color="000000" w:sz="4" w:space="0"/>
              <w:right w:val="single" w:color="000000" w:sz="4" w:space="0"/>
            </w:tcBorders>
            <w:vAlign w:val="top"/>
          </w:tcPr>
          <w:p>
            <w:pPr>
              <w:pStyle w:val="19"/>
              <w:ind w:firstLine="0" w:firstLineChars="0"/>
              <w:rPr>
                <w:rFonts w:hint="eastAsia" w:ascii="仿宋_GB2312" w:hAnsi="微软雅黑" w:eastAsia="仿宋_GB2312"/>
                <w:sz w:val="21"/>
                <w:szCs w:val="21"/>
              </w:rPr>
            </w:pPr>
            <w:r>
              <w:rPr>
                <w:rFonts w:hint="eastAsia" w:ascii="仿宋_GB2312" w:hAnsi="微软雅黑" w:eastAsia="仿宋_GB2312"/>
                <w:sz w:val="21"/>
                <w:szCs w:val="21"/>
              </w:rPr>
              <w:t>《综合布线系统工程设计规范》</w:t>
            </w:r>
          </w:p>
        </w:tc>
        <w:tc>
          <w:tcPr>
            <w:tcW w:w="2554"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rPr>
                <w:rFonts w:hint="eastAsia" w:ascii="仿宋_GB2312" w:hAnsi="微软雅黑" w:eastAsia="仿宋_GB2312"/>
                <w:sz w:val="21"/>
              </w:rPr>
            </w:pPr>
            <w:r>
              <w:rPr>
                <w:rFonts w:hint="eastAsia" w:ascii="仿宋_GB2312" w:hAnsi="微软雅黑" w:eastAsia="仿宋_GB2312"/>
                <w:bCs/>
                <w:sz w:val="21"/>
              </w:rPr>
              <w:t>GB 50311-2007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709"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jc w:val="center"/>
              <w:rPr>
                <w:rFonts w:hint="eastAsia" w:ascii="仿宋_GB2312" w:hAnsi="微软雅黑" w:eastAsia="仿宋_GB2312"/>
                <w:sz w:val="21"/>
              </w:rPr>
            </w:pPr>
            <w:r>
              <w:rPr>
                <w:rFonts w:hint="eastAsia" w:ascii="仿宋_GB2312" w:hAnsi="微软雅黑" w:eastAsia="仿宋_GB2312"/>
                <w:sz w:val="21"/>
              </w:rPr>
              <w:t>7</w:t>
            </w:r>
          </w:p>
        </w:tc>
        <w:tc>
          <w:tcPr>
            <w:tcW w:w="5107" w:type="dxa"/>
            <w:tcBorders>
              <w:top w:val="single" w:color="000000" w:sz="4" w:space="0"/>
              <w:left w:val="single" w:color="000000" w:sz="4" w:space="0"/>
              <w:bottom w:val="single" w:color="000000" w:sz="4" w:space="0"/>
              <w:right w:val="single" w:color="000000" w:sz="4" w:space="0"/>
            </w:tcBorders>
            <w:vAlign w:val="top"/>
          </w:tcPr>
          <w:p>
            <w:pPr>
              <w:pStyle w:val="19"/>
              <w:ind w:firstLine="0" w:firstLineChars="0"/>
              <w:rPr>
                <w:rFonts w:hint="eastAsia" w:ascii="仿宋_GB2312" w:hAnsi="微软雅黑" w:eastAsia="仿宋_GB2312"/>
                <w:sz w:val="21"/>
                <w:szCs w:val="21"/>
              </w:rPr>
            </w:pPr>
            <w:r>
              <w:rPr>
                <w:rFonts w:hint="eastAsia" w:ascii="仿宋_GB2312" w:hAnsi="微软雅黑" w:eastAsia="仿宋_GB2312"/>
                <w:sz w:val="21"/>
                <w:szCs w:val="21"/>
              </w:rPr>
              <w:t>《视频安防监控系统技术要求》</w:t>
            </w:r>
          </w:p>
        </w:tc>
        <w:tc>
          <w:tcPr>
            <w:tcW w:w="2554" w:type="dxa"/>
            <w:tcBorders>
              <w:top w:val="single" w:color="000000" w:sz="4" w:space="0"/>
              <w:left w:val="single" w:color="000000" w:sz="4" w:space="0"/>
              <w:bottom w:val="single" w:color="000000" w:sz="4" w:space="0"/>
              <w:right w:val="single" w:color="000000" w:sz="4" w:space="0"/>
            </w:tcBorders>
            <w:vAlign w:val="top"/>
          </w:tcPr>
          <w:p>
            <w:pPr>
              <w:pStyle w:val="19"/>
              <w:ind w:firstLine="0" w:firstLineChars="0"/>
              <w:rPr>
                <w:rFonts w:hint="eastAsia" w:ascii="仿宋_GB2312" w:hAnsi="微软雅黑" w:eastAsia="仿宋_GB2312"/>
                <w:sz w:val="21"/>
                <w:szCs w:val="21"/>
              </w:rPr>
            </w:pPr>
            <w:r>
              <w:rPr>
                <w:rFonts w:hint="eastAsia" w:ascii="仿宋_GB2312" w:hAnsi="微软雅黑" w:eastAsia="仿宋_GB2312"/>
                <w:sz w:val="21"/>
                <w:szCs w:val="21"/>
              </w:rPr>
              <w:t>GA/T 367-2001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709"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jc w:val="center"/>
              <w:rPr>
                <w:rFonts w:hint="eastAsia" w:ascii="仿宋_GB2312" w:hAnsi="微软雅黑" w:eastAsia="仿宋_GB2312"/>
                <w:sz w:val="21"/>
              </w:rPr>
            </w:pPr>
            <w:r>
              <w:rPr>
                <w:rFonts w:hint="eastAsia" w:ascii="仿宋_GB2312" w:hAnsi="微软雅黑" w:eastAsia="仿宋_GB2312"/>
                <w:sz w:val="21"/>
              </w:rPr>
              <w:t>8</w:t>
            </w:r>
          </w:p>
        </w:tc>
        <w:tc>
          <w:tcPr>
            <w:tcW w:w="5107" w:type="dxa"/>
            <w:tcBorders>
              <w:top w:val="single" w:color="000000" w:sz="4" w:space="0"/>
              <w:left w:val="single" w:color="000000" w:sz="4" w:space="0"/>
              <w:bottom w:val="single" w:color="000000" w:sz="4" w:space="0"/>
              <w:right w:val="single" w:color="000000" w:sz="4" w:space="0"/>
            </w:tcBorders>
            <w:vAlign w:val="top"/>
          </w:tcPr>
          <w:p>
            <w:pPr>
              <w:pStyle w:val="19"/>
              <w:ind w:firstLine="0" w:firstLineChars="0"/>
              <w:rPr>
                <w:rFonts w:hint="eastAsia" w:ascii="仿宋_GB2312" w:hAnsi="微软雅黑" w:eastAsia="仿宋_GB2312"/>
                <w:sz w:val="21"/>
                <w:szCs w:val="21"/>
              </w:rPr>
            </w:pPr>
            <w:r>
              <w:rPr>
                <w:rFonts w:hint="eastAsia" w:ascii="仿宋_GB2312" w:hAnsi="微软雅黑" w:eastAsia="仿宋_GB2312"/>
                <w:sz w:val="21"/>
                <w:szCs w:val="21"/>
              </w:rPr>
              <w:t>《入侵报警系统技术要求》</w:t>
            </w:r>
          </w:p>
        </w:tc>
        <w:tc>
          <w:tcPr>
            <w:tcW w:w="2554" w:type="dxa"/>
            <w:tcBorders>
              <w:top w:val="single" w:color="000000" w:sz="4" w:space="0"/>
              <w:left w:val="single" w:color="000000" w:sz="4" w:space="0"/>
              <w:bottom w:val="single" w:color="000000" w:sz="4" w:space="0"/>
              <w:right w:val="single" w:color="000000" w:sz="4" w:space="0"/>
            </w:tcBorders>
            <w:vAlign w:val="top"/>
          </w:tcPr>
          <w:p>
            <w:pPr>
              <w:pStyle w:val="19"/>
              <w:ind w:firstLine="0" w:firstLineChars="0"/>
              <w:rPr>
                <w:rFonts w:hint="eastAsia" w:ascii="仿宋_GB2312" w:hAnsi="微软雅黑" w:eastAsia="仿宋_GB2312"/>
                <w:sz w:val="21"/>
                <w:szCs w:val="21"/>
              </w:rPr>
            </w:pPr>
            <w:r>
              <w:rPr>
                <w:rFonts w:hint="eastAsia" w:ascii="仿宋_GB2312" w:hAnsi="微软雅黑" w:eastAsia="仿宋_GB2312"/>
                <w:sz w:val="21"/>
                <w:szCs w:val="21"/>
              </w:rPr>
              <w:t>GA/T 368-2001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709"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jc w:val="center"/>
              <w:rPr>
                <w:rFonts w:hint="eastAsia" w:ascii="仿宋_GB2312" w:hAnsi="微软雅黑" w:eastAsia="仿宋_GB2312"/>
                <w:sz w:val="21"/>
              </w:rPr>
            </w:pPr>
            <w:r>
              <w:rPr>
                <w:rFonts w:hint="eastAsia" w:ascii="仿宋_GB2312" w:hAnsi="微软雅黑" w:eastAsia="仿宋_GB2312"/>
                <w:sz w:val="21"/>
              </w:rPr>
              <w:t>9</w:t>
            </w:r>
          </w:p>
        </w:tc>
        <w:tc>
          <w:tcPr>
            <w:tcW w:w="5107" w:type="dxa"/>
            <w:tcBorders>
              <w:top w:val="single" w:color="000000" w:sz="4" w:space="0"/>
              <w:left w:val="single" w:color="000000" w:sz="4" w:space="0"/>
              <w:bottom w:val="single" w:color="000000" w:sz="4" w:space="0"/>
              <w:right w:val="single" w:color="000000" w:sz="4" w:space="0"/>
            </w:tcBorders>
            <w:vAlign w:val="top"/>
          </w:tcPr>
          <w:p>
            <w:pPr>
              <w:pStyle w:val="19"/>
              <w:ind w:firstLine="0" w:firstLineChars="0"/>
              <w:rPr>
                <w:rFonts w:hint="eastAsia" w:ascii="仿宋_GB2312" w:hAnsi="微软雅黑" w:eastAsia="仿宋_GB2312"/>
                <w:sz w:val="21"/>
                <w:szCs w:val="21"/>
              </w:rPr>
            </w:pPr>
            <w:r>
              <w:rPr>
                <w:rFonts w:hint="eastAsia" w:ascii="仿宋_GB2312" w:hAnsi="微软雅黑" w:eastAsia="仿宋_GB2312"/>
                <w:sz w:val="21"/>
                <w:szCs w:val="21"/>
              </w:rPr>
              <w:t>《入侵报警系统工程设计规范》</w:t>
            </w:r>
          </w:p>
        </w:tc>
        <w:tc>
          <w:tcPr>
            <w:tcW w:w="2554" w:type="dxa"/>
            <w:tcBorders>
              <w:top w:val="single" w:color="000000" w:sz="4" w:space="0"/>
              <w:left w:val="single" w:color="000000" w:sz="4" w:space="0"/>
              <w:bottom w:val="single" w:color="000000" w:sz="4" w:space="0"/>
              <w:right w:val="single" w:color="000000" w:sz="4" w:space="0"/>
            </w:tcBorders>
            <w:vAlign w:val="top"/>
          </w:tcPr>
          <w:p>
            <w:pPr>
              <w:pStyle w:val="19"/>
              <w:ind w:firstLine="0" w:firstLineChars="0"/>
              <w:rPr>
                <w:rFonts w:hint="eastAsia" w:ascii="仿宋_GB2312" w:hAnsi="微软雅黑" w:eastAsia="仿宋_GB2312"/>
                <w:sz w:val="21"/>
                <w:szCs w:val="21"/>
              </w:rPr>
            </w:pPr>
            <w:r>
              <w:rPr>
                <w:rFonts w:hint="eastAsia" w:ascii="仿宋_GB2312" w:hAnsi="微软雅黑" w:eastAsia="仿宋_GB2312"/>
                <w:sz w:val="21"/>
                <w:szCs w:val="21"/>
              </w:rPr>
              <w:t>GB 50394-2007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709"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jc w:val="center"/>
              <w:rPr>
                <w:rFonts w:hint="eastAsia" w:ascii="仿宋_GB2312" w:hAnsi="微软雅黑" w:eastAsia="仿宋_GB2312"/>
                <w:sz w:val="21"/>
              </w:rPr>
            </w:pPr>
            <w:r>
              <w:rPr>
                <w:rFonts w:hint="eastAsia" w:ascii="仿宋_GB2312" w:hAnsi="微软雅黑" w:eastAsia="仿宋_GB2312"/>
                <w:sz w:val="21"/>
              </w:rPr>
              <w:t>10</w:t>
            </w:r>
          </w:p>
        </w:tc>
        <w:tc>
          <w:tcPr>
            <w:tcW w:w="5107" w:type="dxa"/>
            <w:tcBorders>
              <w:top w:val="single" w:color="000000" w:sz="4" w:space="0"/>
              <w:left w:val="single" w:color="000000" w:sz="4" w:space="0"/>
              <w:bottom w:val="single" w:color="000000" w:sz="4" w:space="0"/>
              <w:right w:val="single" w:color="000000" w:sz="4" w:space="0"/>
            </w:tcBorders>
            <w:vAlign w:val="top"/>
          </w:tcPr>
          <w:p>
            <w:pPr>
              <w:pStyle w:val="19"/>
              <w:ind w:firstLine="0" w:firstLineChars="0"/>
              <w:rPr>
                <w:rFonts w:hint="eastAsia" w:ascii="仿宋_GB2312" w:hAnsi="微软雅黑" w:eastAsia="仿宋_GB2312"/>
                <w:sz w:val="21"/>
                <w:szCs w:val="21"/>
              </w:rPr>
            </w:pPr>
            <w:r>
              <w:rPr>
                <w:rFonts w:hint="eastAsia" w:ascii="仿宋_GB2312" w:hAnsi="微软雅黑" w:eastAsia="仿宋_GB2312"/>
                <w:sz w:val="21"/>
                <w:szCs w:val="21"/>
              </w:rPr>
              <w:t>《出入口控制系统工程设计规范》</w:t>
            </w:r>
          </w:p>
        </w:tc>
        <w:tc>
          <w:tcPr>
            <w:tcW w:w="2554"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rPr>
                <w:rFonts w:hint="eastAsia" w:ascii="仿宋_GB2312" w:hAnsi="微软雅黑" w:eastAsia="仿宋_GB2312"/>
                <w:sz w:val="21"/>
              </w:rPr>
            </w:pPr>
            <w:r>
              <w:rPr>
                <w:rFonts w:hint="eastAsia" w:ascii="仿宋_GB2312" w:hAnsi="微软雅黑" w:eastAsia="仿宋_GB2312"/>
                <w:sz w:val="21"/>
              </w:rPr>
              <w:t>GB 50396-2007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709" w:type="dxa"/>
            <w:tcBorders>
              <w:top w:val="single" w:color="000000" w:sz="4" w:space="0"/>
              <w:left w:val="single" w:color="000000" w:sz="4" w:space="0"/>
              <w:bottom w:val="single" w:color="000000" w:sz="4" w:space="0"/>
              <w:right w:val="single" w:color="000000" w:sz="4" w:space="0"/>
            </w:tcBorders>
            <w:vAlign w:val="top"/>
          </w:tcPr>
          <w:p>
            <w:pPr>
              <w:pStyle w:val="19"/>
              <w:ind w:firstLine="0" w:firstLineChars="0"/>
              <w:jc w:val="center"/>
              <w:rPr>
                <w:rFonts w:hint="eastAsia" w:ascii="仿宋_GB2312" w:hAnsi="微软雅黑" w:eastAsia="仿宋_GB2312"/>
                <w:sz w:val="21"/>
                <w:szCs w:val="21"/>
              </w:rPr>
            </w:pPr>
            <w:r>
              <w:rPr>
                <w:rFonts w:hint="eastAsia" w:ascii="仿宋_GB2312" w:hAnsi="微软雅黑" w:eastAsia="仿宋_GB2312"/>
                <w:sz w:val="21"/>
                <w:szCs w:val="21"/>
              </w:rPr>
              <w:t>11</w:t>
            </w:r>
          </w:p>
        </w:tc>
        <w:tc>
          <w:tcPr>
            <w:tcW w:w="5107" w:type="dxa"/>
            <w:tcBorders>
              <w:top w:val="single" w:color="000000" w:sz="4" w:space="0"/>
              <w:left w:val="single" w:color="000000" w:sz="4" w:space="0"/>
              <w:bottom w:val="single" w:color="000000" w:sz="4" w:space="0"/>
              <w:right w:val="single" w:color="000000" w:sz="4" w:space="0"/>
            </w:tcBorders>
            <w:vAlign w:val="top"/>
          </w:tcPr>
          <w:p>
            <w:pPr>
              <w:pStyle w:val="19"/>
              <w:ind w:firstLine="0" w:firstLineChars="0"/>
              <w:rPr>
                <w:rFonts w:hint="eastAsia" w:ascii="仿宋_GB2312" w:hAnsi="微软雅黑" w:eastAsia="仿宋_GB2312"/>
                <w:sz w:val="21"/>
                <w:szCs w:val="21"/>
              </w:rPr>
            </w:pPr>
            <w:r>
              <w:rPr>
                <w:rFonts w:hint="eastAsia" w:ascii="仿宋_GB2312" w:hAnsi="微软雅黑" w:eastAsia="仿宋_GB2312"/>
                <w:sz w:val="21"/>
                <w:szCs w:val="21"/>
              </w:rPr>
              <w:t>《机动车号牌图像自动识别技术规范》</w:t>
            </w:r>
          </w:p>
        </w:tc>
        <w:tc>
          <w:tcPr>
            <w:tcW w:w="2554"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rPr>
                <w:rFonts w:hint="eastAsia" w:ascii="仿宋_GB2312" w:hAnsi="微软雅黑" w:eastAsia="仿宋_GB2312"/>
                <w:sz w:val="21"/>
              </w:rPr>
            </w:pPr>
            <w:r>
              <w:rPr>
                <w:rFonts w:hint="eastAsia" w:ascii="仿宋_GB2312" w:hAnsi="微软雅黑" w:eastAsia="仿宋_GB2312"/>
                <w:sz w:val="21"/>
              </w:rPr>
              <w:t>GA/T833-2009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709" w:type="dxa"/>
            <w:tcBorders>
              <w:top w:val="single" w:color="000000" w:sz="4" w:space="0"/>
              <w:left w:val="single" w:color="000000" w:sz="4" w:space="0"/>
              <w:bottom w:val="single" w:color="000000" w:sz="4" w:space="0"/>
              <w:right w:val="single" w:color="000000" w:sz="4" w:space="0"/>
            </w:tcBorders>
            <w:vAlign w:val="top"/>
          </w:tcPr>
          <w:p>
            <w:pPr>
              <w:pStyle w:val="19"/>
              <w:ind w:firstLine="0" w:firstLineChars="0"/>
              <w:jc w:val="center"/>
              <w:rPr>
                <w:rFonts w:hint="eastAsia" w:ascii="仿宋_GB2312" w:hAnsi="微软雅黑" w:eastAsia="仿宋_GB2312"/>
                <w:sz w:val="21"/>
                <w:szCs w:val="21"/>
              </w:rPr>
            </w:pPr>
            <w:r>
              <w:rPr>
                <w:rFonts w:hint="eastAsia" w:ascii="仿宋_GB2312" w:hAnsi="微软雅黑" w:eastAsia="仿宋_GB2312"/>
                <w:sz w:val="21"/>
                <w:szCs w:val="21"/>
              </w:rPr>
              <w:t>12</w:t>
            </w:r>
          </w:p>
        </w:tc>
        <w:tc>
          <w:tcPr>
            <w:tcW w:w="5107" w:type="dxa"/>
            <w:tcBorders>
              <w:top w:val="single" w:color="000000" w:sz="4" w:space="0"/>
              <w:left w:val="single" w:color="000000" w:sz="4" w:space="0"/>
              <w:bottom w:val="single" w:color="000000" w:sz="4" w:space="0"/>
              <w:right w:val="single" w:color="000000" w:sz="4" w:space="0"/>
            </w:tcBorders>
            <w:vAlign w:val="top"/>
          </w:tcPr>
          <w:p>
            <w:pPr>
              <w:pStyle w:val="19"/>
              <w:ind w:firstLine="0" w:firstLineChars="0"/>
              <w:rPr>
                <w:rFonts w:hint="eastAsia" w:ascii="仿宋_GB2312" w:hAnsi="微软雅黑" w:eastAsia="仿宋_GB2312"/>
                <w:sz w:val="21"/>
                <w:szCs w:val="21"/>
              </w:rPr>
            </w:pPr>
            <w:r>
              <w:rPr>
                <w:rFonts w:hint="eastAsia" w:ascii="仿宋_GB2312" w:hAnsi="微软雅黑" w:eastAsia="仿宋_GB2312"/>
                <w:sz w:val="21"/>
                <w:szCs w:val="21"/>
              </w:rPr>
              <w:t>《汽车号牌视频自动识别系统》</w:t>
            </w:r>
          </w:p>
        </w:tc>
        <w:tc>
          <w:tcPr>
            <w:tcW w:w="2554"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rPr>
                <w:rFonts w:hint="eastAsia" w:ascii="仿宋_GB2312" w:hAnsi="微软雅黑" w:eastAsia="仿宋_GB2312"/>
                <w:sz w:val="21"/>
              </w:rPr>
            </w:pPr>
            <w:r>
              <w:rPr>
                <w:rFonts w:hint="eastAsia" w:ascii="仿宋_GB2312" w:hAnsi="微软雅黑" w:eastAsia="仿宋_GB2312"/>
                <w:sz w:val="21"/>
              </w:rPr>
              <w:t>JT-T604-2004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709"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jc w:val="center"/>
              <w:rPr>
                <w:rFonts w:hint="eastAsia" w:ascii="仿宋_GB2312" w:hAnsi="微软雅黑" w:eastAsia="仿宋_GB2312"/>
                <w:sz w:val="21"/>
              </w:rPr>
            </w:pPr>
            <w:r>
              <w:rPr>
                <w:rFonts w:hint="eastAsia" w:ascii="仿宋_GB2312" w:hAnsi="微软雅黑" w:eastAsia="仿宋_GB2312"/>
                <w:sz w:val="21"/>
              </w:rPr>
              <w:t>13</w:t>
            </w:r>
          </w:p>
        </w:tc>
        <w:tc>
          <w:tcPr>
            <w:tcW w:w="5107" w:type="dxa"/>
            <w:tcBorders>
              <w:top w:val="single" w:color="000000" w:sz="4" w:space="0"/>
              <w:left w:val="single" w:color="000000" w:sz="4" w:space="0"/>
              <w:bottom w:val="single" w:color="000000" w:sz="4" w:space="0"/>
              <w:right w:val="single" w:color="000000" w:sz="4" w:space="0"/>
            </w:tcBorders>
            <w:vAlign w:val="top"/>
          </w:tcPr>
          <w:p>
            <w:pPr>
              <w:pStyle w:val="19"/>
              <w:ind w:firstLine="0" w:firstLineChars="0"/>
              <w:rPr>
                <w:rFonts w:hint="eastAsia" w:ascii="仿宋_GB2312" w:hAnsi="微软雅黑" w:eastAsia="仿宋_GB2312"/>
                <w:sz w:val="21"/>
                <w:szCs w:val="21"/>
              </w:rPr>
            </w:pPr>
            <w:r>
              <w:rPr>
                <w:rFonts w:hint="eastAsia" w:ascii="仿宋_GB2312" w:hAnsi="微软雅黑" w:eastAsia="仿宋_GB2312"/>
                <w:sz w:val="21"/>
                <w:szCs w:val="21"/>
              </w:rPr>
              <w:t>《电磁辐射防护规定》</w:t>
            </w:r>
          </w:p>
        </w:tc>
        <w:tc>
          <w:tcPr>
            <w:tcW w:w="2554" w:type="dxa"/>
            <w:tcBorders>
              <w:top w:val="single" w:color="000000" w:sz="4" w:space="0"/>
              <w:left w:val="single" w:color="000000" w:sz="4" w:space="0"/>
              <w:bottom w:val="single" w:color="000000" w:sz="4" w:space="0"/>
              <w:right w:val="single" w:color="000000" w:sz="4" w:space="0"/>
            </w:tcBorders>
            <w:vAlign w:val="top"/>
          </w:tcPr>
          <w:p>
            <w:pPr>
              <w:pStyle w:val="19"/>
              <w:ind w:firstLine="0" w:firstLineChars="0"/>
              <w:rPr>
                <w:rFonts w:hint="eastAsia" w:ascii="仿宋_GB2312" w:hAnsi="微软雅黑" w:eastAsia="仿宋_GB2312"/>
                <w:sz w:val="21"/>
                <w:szCs w:val="21"/>
              </w:rPr>
            </w:pPr>
            <w:r>
              <w:rPr>
                <w:rFonts w:hint="eastAsia" w:ascii="仿宋_GB2312" w:hAnsi="微软雅黑" w:eastAsia="仿宋_GB2312"/>
                <w:sz w:val="21"/>
                <w:szCs w:val="21"/>
              </w:rPr>
              <w:t>GB8702-88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709"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jc w:val="center"/>
              <w:rPr>
                <w:rFonts w:hint="eastAsia" w:ascii="仿宋_GB2312" w:hAnsi="微软雅黑" w:eastAsia="仿宋_GB2312"/>
                <w:sz w:val="21"/>
              </w:rPr>
            </w:pPr>
            <w:r>
              <w:rPr>
                <w:rFonts w:hint="eastAsia" w:ascii="仿宋_GB2312" w:hAnsi="微软雅黑" w:eastAsia="仿宋_GB2312"/>
                <w:sz w:val="21"/>
              </w:rPr>
              <w:t>14</w:t>
            </w:r>
          </w:p>
        </w:tc>
        <w:tc>
          <w:tcPr>
            <w:tcW w:w="5107" w:type="dxa"/>
            <w:tcBorders>
              <w:top w:val="single" w:color="000000" w:sz="4" w:space="0"/>
              <w:left w:val="single" w:color="000000" w:sz="4" w:space="0"/>
              <w:bottom w:val="single" w:color="000000" w:sz="4" w:space="0"/>
              <w:right w:val="single" w:color="000000" w:sz="4" w:space="0"/>
            </w:tcBorders>
            <w:vAlign w:val="top"/>
          </w:tcPr>
          <w:p>
            <w:pPr>
              <w:pStyle w:val="19"/>
              <w:ind w:firstLine="0" w:firstLineChars="0"/>
              <w:rPr>
                <w:rFonts w:hint="eastAsia" w:ascii="仿宋_GB2312" w:hAnsi="微软雅黑" w:eastAsia="仿宋_GB2312"/>
                <w:sz w:val="21"/>
                <w:szCs w:val="21"/>
              </w:rPr>
            </w:pPr>
            <w:r>
              <w:rPr>
                <w:rFonts w:hint="eastAsia" w:ascii="仿宋_GB2312" w:hAnsi="微软雅黑" w:eastAsia="仿宋_GB2312"/>
                <w:sz w:val="21"/>
                <w:szCs w:val="21"/>
              </w:rPr>
              <w:t>《中华人民共和国环境电波卫生标准》</w:t>
            </w:r>
          </w:p>
        </w:tc>
        <w:tc>
          <w:tcPr>
            <w:tcW w:w="2554" w:type="dxa"/>
            <w:tcBorders>
              <w:top w:val="single" w:color="000000" w:sz="4" w:space="0"/>
              <w:left w:val="single" w:color="000000" w:sz="4" w:space="0"/>
              <w:bottom w:val="single" w:color="000000" w:sz="4" w:space="0"/>
              <w:right w:val="single" w:color="000000" w:sz="4" w:space="0"/>
            </w:tcBorders>
            <w:vAlign w:val="top"/>
          </w:tcPr>
          <w:p>
            <w:pPr>
              <w:pStyle w:val="19"/>
              <w:ind w:firstLine="0" w:firstLineChars="0"/>
              <w:rPr>
                <w:rFonts w:hint="eastAsia" w:ascii="仿宋_GB2312" w:hAnsi="微软雅黑" w:eastAsia="仿宋_GB2312"/>
                <w:sz w:val="21"/>
                <w:szCs w:val="21"/>
              </w:rPr>
            </w:pPr>
            <w:r>
              <w:rPr>
                <w:rFonts w:hint="eastAsia" w:ascii="仿宋_GB2312" w:hAnsi="微软雅黑" w:eastAsia="仿宋_GB2312"/>
                <w:sz w:val="21"/>
                <w:szCs w:val="21"/>
              </w:rPr>
              <w:t>GB9175-88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709"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jc w:val="center"/>
              <w:rPr>
                <w:rFonts w:hint="eastAsia" w:ascii="仿宋_GB2312" w:hAnsi="微软雅黑" w:eastAsia="仿宋_GB2312"/>
                <w:sz w:val="21"/>
              </w:rPr>
            </w:pPr>
            <w:r>
              <w:rPr>
                <w:rFonts w:hint="eastAsia" w:ascii="仿宋_GB2312" w:hAnsi="微软雅黑" w:eastAsia="仿宋_GB2312"/>
                <w:sz w:val="21"/>
              </w:rPr>
              <w:t>15</w:t>
            </w:r>
          </w:p>
        </w:tc>
        <w:tc>
          <w:tcPr>
            <w:tcW w:w="5107"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rPr>
                <w:rFonts w:hint="eastAsia" w:ascii="仿宋_GB2312" w:hAnsi="微软雅黑" w:eastAsia="仿宋_GB2312"/>
                <w:sz w:val="21"/>
              </w:rPr>
            </w:pPr>
            <w:r>
              <w:rPr>
                <w:rFonts w:hint="eastAsia" w:ascii="仿宋_GB2312" w:hAnsi="微软雅黑" w:eastAsia="仿宋_GB2312"/>
                <w:sz w:val="21"/>
              </w:rPr>
              <w:t>中华人民共和国海关总署令171号</w:t>
            </w:r>
          </w:p>
        </w:tc>
        <w:tc>
          <w:tcPr>
            <w:tcW w:w="2554" w:type="dxa"/>
            <w:tcBorders>
              <w:top w:val="single" w:color="000000" w:sz="4" w:space="0"/>
              <w:left w:val="single" w:color="000000" w:sz="4" w:space="0"/>
              <w:bottom w:val="single" w:color="000000" w:sz="4" w:space="0"/>
              <w:right w:val="single" w:color="000000" w:sz="4" w:space="0"/>
            </w:tcBorders>
            <w:vAlign w:val="top"/>
          </w:tcPr>
          <w:p>
            <w:pPr>
              <w:pStyle w:val="18"/>
              <w:ind w:firstLine="0" w:firstLineChars="0"/>
              <w:rPr>
                <w:rFonts w:hint="eastAsia" w:ascii="仿宋_GB2312" w:hAnsi="微软雅黑" w:eastAsia="仿宋_GB2312"/>
                <w:sz w:val="21"/>
              </w:rPr>
            </w:pPr>
          </w:p>
        </w:tc>
      </w:tr>
    </w:tbl>
    <w:p>
      <w:pPr>
        <w:ind w:firstLine="480"/>
        <w:rPr>
          <w:rFonts w:hint="eastAsia" w:ascii="仿宋_GB2312" w:hAnsi="微软雅黑" w:eastAsia="仿宋_GB2312"/>
          <w:sz w:val="28"/>
          <w:szCs w:val="28"/>
        </w:rPr>
      </w:pPr>
    </w:p>
    <w:p>
      <w:pPr>
        <w:pStyle w:val="10"/>
        <w:jc w:val="left"/>
        <w:rPr>
          <w:rFonts w:hint="eastAsia" w:ascii="仿宋_GB2312" w:hAnsi="微软雅黑" w:eastAsia="仿宋_GB2312"/>
        </w:rPr>
      </w:pPr>
      <w:bookmarkStart w:id="89" w:name="_Toc421033444"/>
      <w:bookmarkStart w:id="90" w:name="_Toc395886821"/>
      <w:bookmarkStart w:id="91" w:name="_Toc13070"/>
      <w:bookmarkStart w:id="92" w:name="_Toc384592756"/>
      <w:r>
        <w:rPr>
          <w:rFonts w:hint="eastAsia" w:ascii="仿宋_GB2312" w:hAnsi="微软雅黑" w:eastAsia="仿宋_GB2312"/>
        </w:rPr>
        <w:t>3.3</w:t>
      </w:r>
      <w:r>
        <w:rPr>
          <w:rFonts w:hint="eastAsia" w:ascii="仿宋_GB2312" w:hAnsi="微软雅黑" w:eastAsia="仿宋_GB2312"/>
          <w:sz w:val="36"/>
          <w:szCs w:val="36"/>
        </w:rPr>
        <w:t>系统总体设计</w:t>
      </w:r>
      <w:bookmarkEnd w:id="89"/>
      <w:bookmarkEnd w:id="90"/>
      <w:bookmarkEnd w:id="91"/>
      <w:bookmarkEnd w:id="92"/>
    </w:p>
    <w:p>
      <w:pPr>
        <w:pStyle w:val="10"/>
        <w:jc w:val="left"/>
        <w:rPr>
          <w:rFonts w:hint="eastAsia" w:ascii="仿宋_GB2312" w:hAnsi="微软雅黑" w:eastAsia="仿宋_GB2312"/>
        </w:rPr>
      </w:pPr>
      <w:bookmarkStart w:id="93" w:name="_Toc421033445"/>
      <w:bookmarkStart w:id="94" w:name="_Toc395886822"/>
      <w:bookmarkStart w:id="95" w:name="_Toc384592757"/>
      <w:r>
        <w:rPr>
          <w:rFonts w:hint="eastAsia" w:ascii="仿宋_GB2312" w:hAnsi="微软雅黑" w:eastAsia="仿宋_GB2312"/>
        </w:rPr>
        <w:t>3.3.1</w:t>
      </w:r>
      <w:r>
        <w:rPr>
          <w:rFonts w:hint="eastAsia" w:ascii="仿宋_GB2312" w:hAnsi="微软雅黑" w:eastAsia="仿宋_GB2312"/>
          <w:sz w:val="36"/>
          <w:szCs w:val="36"/>
        </w:rPr>
        <w:t>总体设计思路</w:t>
      </w:r>
      <w:bookmarkEnd w:id="93"/>
      <w:bookmarkEnd w:id="94"/>
      <w:bookmarkEnd w:id="95"/>
    </w:p>
    <w:p>
      <w:pPr>
        <w:pStyle w:val="18"/>
        <w:ind w:firstLine="560"/>
        <w:rPr>
          <w:rFonts w:hint="eastAsia" w:ascii="仿宋_GB2312" w:hAnsi="微软雅黑" w:eastAsia="仿宋_GB2312"/>
          <w:sz w:val="28"/>
          <w:szCs w:val="28"/>
        </w:rPr>
      </w:pPr>
      <w:r>
        <w:rPr>
          <w:rFonts w:hint="eastAsia" w:ascii="仿宋_GB2312" w:hAnsi="微软雅黑" w:eastAsia="仿宋_GB2312"/>
          <w:sz w:val="28"/>
          <w:szCs w:val="28"/>
        </w:rPr>
        <w:t>根据园区实际应用需求和相关领导关于加强园区安防系统信息化建设的指示精神，系统的规划建设将本着“高起点、高效率”的原则，以园区安防事件的事前防范、事中处理、事后分析提供有效的技术支持为基本要求，建立起“人防部署严密、物防设施完善、技术手段先进、联防协调统一、应急处置高效”的集管理、防范、控制于一体的园区安全保障体系，对各类事件做到预知、预判、预防、预警和有效处置，切实加强园区的安全保障能力和应急处置能力。</w:t>
      </w:r>
    </w:p>
    <w:p>
      <w:pPr>
        <w:pStyle w:val="18"/>
        <w:ind w:firstLine="560"/>
        <w:rPr>
          <w:rFonts w:hint="eastAsia" w:ascii="仿宋_GB2312" w:hAnsi="微软雅黑" w:eastAsia="仿宋_GB2312"/>
          <w:sz w:val="28"/>
          <w:szCs w:val="28"/>
        </w:rPr>
      </w:pPr>
      <w:r>
        <w:rPr>
          <w:rFonts w:hint="eastAsia" w:ascii="仿宋_GB2312" w:hAnsi="微软雅黑" w:eastAsia="仿宋_GB2312"/>
          <w:sz w:val="28"/>
          <w:szCs w:val="28"/>
        </w:rPr>
        <w:t>本方案综合管理平台为载体，能综合集成视频监控系统、车辆抓拍识别系统、视频智能分析系统、周界报警系统等多个安防应用子系统，并通过上层综合管理系统的统一协调实现各应用子系统之间的资源共享与信息互通，实现各安防应用子系统之间的智能化联动和处置突发事件的应急指挥。同时站在园区安防与运维管理的高度，充分利用计算机和物联网技术手段，实现对园区安全防范的集中管理，从根本上提升园区安全防范能力，提高园区安全防范的整体联动响应能力和智能化管理程度，最终实现园区内各安防应用子系统的集中管理、资源共享、统筹调度，形成园区综合安防统一大平台局面。</w:t>
      </w:r>
    </w:p>
    <w:p>
      <w:pPr>
        <w:pStyle w:val="10"/>
        <w:jc w:val="left"/>
        <w:rPr>
          <w:rFonts w:hint="eastAsia" w:ascii="仿宋_GB2312" w:hAnsi="微软雅黑" w:eastAsia="仿宋_GB2312"/>
        </w:rPr>
      </w:pPr>
      <w:bookmarkStart w:id="96" w:name="_Toc421033446"/>
      <w:bookmarkStart w:id="97" w:name="_Toc395886823"/>
      <w:bookmarkStart w:id="98" w:name="_Toc384592758"/>
      <w:r>
        <w:rPr>
          <w:rFonts w:hint="eastAsia" w:ascii="仿宋_GB2312" w:hAnsi="微软雅黑" w:eastAsia="仿宋_GB2312"/>
        </w:rPr>
        <w:t>3.3.2</w:t>
      </w:r>
      <w:r>
        <w:rPr>
          <w:rFonts w:hint="eastAsia" w:ascii="仿宋_GB2312" w:hAnsi="微软雅黑" w:eastAsia="仿宋_GB2312"/>
          <w:sz w:val="36"/>
          <w:szCs w:val="36"/>
        </w:rPr>
        <w:t>系统架构设计</w:t>
      </w:r>
      <w:bookmarkEnd w:id="96"/>
      <w:bookmarkEnd w:id="97"/>
      <w:bookmarkEnd w:id="98"/>
    </w:p>
    <w:p>
      <w:pPr>
        <w:pStyle w:val="19"/>
        <w:ind w:firstLine="560"/>
        <w:rPr>
          <w:rFonts w:hint="eastAsia" w:ascii="仿宋_GB2312" w:hAnsi="微软雅黑" w:eastAsia="仿宋_GB2312"/>
          <w:sz w:val="28"/>
          <w:szCs w:val="28"/>
        </w:rPr>
      </w:pPr>
      <w:r>
        <w:rPr>
          <w:rFonts w:hint="eastAsia" w:ascii="仿宋_GB2312" w:hAnsi="微软雅黑" w:eastAsia="仿宋_GB2312"/>
          <w:sz w:val="28"/>
          <w:szCs w:val="28"/>
        </w:rPr>
        <w:t>园区安防管理系统架构拓扑图如下图所示：</w:t>
      </w:r>
    </w:p>
    <w:p>
      <w:pPr>
        <w:ind w:firstLine="480"/>
        <w:rPr>
          <w:rFonts w:hint="eastAsia" w:ascii="仿宋_GB2312" w:hAnsi="微软雅黑" w:eastAsia="仿宋_GB2312"/>
          <w:sz w:val="28"/>
          <w:szCs w:val="28"/>
        </w:rPr>
      </w:pPr>
      <w:r>
        <w:rPr>
          <w:rFonts w:hint="eastAsia" w:ascii="仿宋_GB2312" w:hAnsi="微软雅黑" w:eastAsia="仿宋_GB2312"/>
          <w:sz w:val="28"/>
          <w:szCs w:val="28"/>
        </w:rPr>
        <w:drawing>
          <wp:inline distT="0" distB="0" distL="114300" distR="114300">
            <wp:extent cx="5276215" cy="2908935"/>
            <wp:effectExtent l="0" t="0" r="635" b="5715"/>
            <wp:docPr id="9" name="图片 3" descr="海关保税港区监控系统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descr="海关保税港区监控系统图.jpg"/>
                    <pic:cNvPicPr>
                      <a:picLocks noChangeAspect="1"/>
                    </pic:cNvPicPr>
                  </pic:nvPicPr>
                  <pic:blipFill>
                    <a:blip r:embed="rId8"/>
                    <a:stretch>
                      <a:fillRect/>
                    </a:stretch>
                  </pic:blipFill>
                  <pic:spPr>
                    <a:xfrm>
                      <a:off x="0" y="0"/>
                      <a:ext cx="5276215" cy="2908935"/>
                    </a:xfrm>
                    <a:prstGeom prst="rect">
                      <a:avLst/>
                    </a:prstGeom>
                    <a:noFill/>
                    <a:ln w="9525">
                      <a:noFill/>
                    </a:ln>
                  </pic:spPr>
                </pic:pic>
              </a:graphicData>
            </a:graphic>
          </wp:inline>
        </w:drawing>
      </w:r>
    </w:p>
    <w:p>
      <w:pPr>
        <w:pStyle w:val="5"/>
        <w:numPr>
          <w:ilvl w:val="0"/>
          <w:numId w:val="6"/>
        </w:numPr>
        <w:ind w:left="0" w:firstLine="420"/>
        <w:rPr>
          <w:rFonts w:hint="eastAsia" w:ascii="仿宋_GB2312" w:hAnsi="微软雅黑" w:eastAsia="仿宋_GB2312"/>
          <w:sz w:val="28"/>
          <w:szCs w:val="28"/>
        </w:rPr>
      </w:pPr>
      <w:r>
        <w:rPr>
          <w:rFonts w:hint="eastAsia" w:ascii="仿宋_GB2312" w:hAnsi="微软雅黑" w:eastAsia="仿宋_GB2312"/>
          <w:sz w:val="28"/>
          <w:szCs w:val="28"/>
        </w:rPr>
        <w:t>系统架构拓扑示意图</w:t>
      </w:r>
    </w:p>
    <w:p>
      <w:pPr>
        <w:pStyle w:val="10"/>
        <w:jc w:val="left"/>
        <w:rPr>
          <w:rFonts w:hint="eastAsia" w:ascii="仿宋_GB2312" w:hAnsi="微软雅黑" w:eastAsia="仿宋_GB2312"/>
        </w:rPr>
      </w:pPr>
      <w:bookmarkStart w:id="99" w:name="_Toc384592759"/>
      <w:bookmarkStart w:id="100" w:name="_Toc395886824"/>
      <w:bookmarkStart w:id="101" w:name="_Toc421033447"/>
      <w:r>
        <w:rPr>
          <w:rFonts w:hint="eastAsia" w:ascii="仿宋_GB2312" w:hAnsi="微软雅黑" w:eastAsia="仿宋_GB2312"/>
        </w:rPr>
        <w:t>3.3.3</w:t>
      </w:r>
      <w:r>
        <w:rPr>
          <w:rFonts w:hint="eastAsia" w:ascii="仿宋_GB2312" w:hAnsi="微软雅黑" w:eastAsia="仿宋_GB2312"/>
          <w:sz w:val="36"/>
          <w:szCs w:val="36"/>
        </w:rPr>
        <w:t>系统应用构成</w:t>
      </w:r>
      <w:bookmarkEnd w:id="99"/>
      <w:bookmarkEnd w:id="100"/>
      <w:bookmarkEnd w:id="101"/>
    </w:p>
    <w:p>
      <w:pPr>
        <w:pStyle w:val="19"/>
        <w:ind w:firstLine="560"/>
        <w:rPr>
          <w:rFonts w:hint="eastAsia" w:ascii="仿宋_GB2312" w:hAnsi="微软雅黑" w:eastAsia="仿宋_GB2312"/>
          <w:sz w:val="28"/>
          <w:szCs w:val="28"/>
        </w:rPr>
      </w:pPr>
      <w:r>
        <w:rPr>
          <w:rFonts w:hint="eastAsia" w:ascii="仿宋_GB2312" w:hAnsi="微软雅黑" w:eastAsia="仿宋_GB2312"/>
          <w:sz w:val="28"/>
          <w:szCs w:val="28"/>
        </w:rPr>
        <w:t>园区安防管理系统内各类安防应用子系统众多，主要有视频监控系统、视频智能分析系统、车辆抓拍识别系统、周界防范系统、违禁物品检测系统等。</w:t>
      </w:r>
    </w:p>
    <w:p>
      <w:pPr>
        <w:pStyle w:val="19"/>
        <w:numPr>
          <w:ilvl w:val="0"/>
          <w:numId w:val="7"/>
        </w:numPr>
        <w:ind w:left="993" w:hanging="513" w:firstLineChars="0"/>
        <w:rPr>
          <w:rFonts w:hint="eastAsia" w:ascii="仿宋_GB2312" w:hAnsi="微软雅黑" w:eastAsia="仿宋_GB2312" w:cs="宋体"/>
          <w:b/>
          <w:kern w:val="0"/>
          <w:sz w:val="28"/>
          <w:szCs w:val="28"/>
        </w:rPr>
      </w:pPr>
      <w:r>
        <w:rPr>
          <w:rFonts w:hint="eastAsia" w:ascii="仿宋_GB2312" w:hAnsi="微软雅黑" w:eastAsia="仿宋_GB2312" w:cs="宋体"/>
          <w:b/>
          <w:kern w:val="0"/>
          <w:sz w:val="28"/>
          <w:szCs w:val="28"/>
        </w:rPr>
        <w:t>视频监控系统</w:t>
      </w:r>
    </w:p>
    <w:p>
      <w:pPr>
        <w:ind w:firstLine="700" w:firstLineChars="250"/>
        <w:rPr>
          <w:rFonts w:hint="eastAsia" w:ascii="仿宋_GB2312" w:hAnsi="微软雅黑" w:eastAsia="仿宋_GB2312"/>
          <w:kern w:val="0"/>
          <w:sz w:val="28"/>
          <w:szCs w:val="28"/>
        </w:rPr>
      </w:pPr>
      <w:r>
        <w:rPr>
          <w:rFonts w:hint="eastAsia" w:ascii="仿宋_GB2312" w:hAnsi="微软雅黑" w:eastAsia="仿宋_GB2312"/>
          <w:kern w:val="0"/>
          <w:sz w:val="28"/>
          <w:szCs w:val="28"/>
        </w:rPr>
        <w:t>视频监控系统是智能化安防管理系统最主要的子系统之一，系统在前端视频监控点位部署的设计根据园区场所的建筑布局，合理布置摄像机的位置，实时有效的对整个园区进行视频监控全覆盖和图像记录。监控前端的设计将结合园区实际监控需要选择合适的产品和技术方法，保障视频监控的效果。</w:t>
      </w:r>
    </w:p>
    <w:p>
      <w:pPr>
        <w:pStyle w:val="19"/>
        <w:numPr>
          <w:ilvl w:val="0"/>
          <w:numId w:val="7"/>
        </w:numPr>
        <w:ind w:left="993" w:hanging="513" w:firstLineChars="0"/>
        <w:rPr>
          <w:rFonts w:hint="eastAsia" w:ascii="仿宋_GB2312" w:hAnsi="微软雅黑" w:eastAsia="仿宋_GB2312" w:cs="宋体"/>
          <w:b/>
          <w:kern w:val="0"/>
          <w:sz w:val="28"/>
          <w:szCs w:val="28"/>
        </w:rPr>
      </w:pPr>
      <w:r>
        <w:rPr>
          <w:rFonts w:hint="eastAsia" w:ascii="仿宋_GB2312" w:hAnsi="微软雅黑" w:eastAsia="仿宋_GB2312" w:cs="宋体"/>
          <w:b/>
          <w:kern w:val="0"/>
          <w:sz w:val="28"/>
          <w:szCs w:val="28"/>
        </w:rPr>
        <w:t>视频智能分析系统</w:t>
      </w:r>
    </w:p>
    <w:p>
      <w:pPr>
        <w:pStyle w:val="18"/>
        <w:ind w:firstLine="560"/>
        <w:rPr>
          <w:rFonts w:hint="eastAsia" w:ascii="仿宋_GB2312" w:hAnsi="微软雅黑" w:eastAsia="仿宋_GB2312"/>
          <w:sz w:val="28"/>
          <w:szCs w:val="28"/>
        </w:rPr>
      </w:pPr>
      <w:r>
        <w:rPr>
          <w:rFonts w:hint="eastAsia" w:ascii="仿宋_GB2312" w:hAnsi="微软雅黑" w:eastAsia="仿宋_GB2312"/>
          <w:sz w:val="28"/>
          <w:szCs w:val="28"/>
        </w:rPr>
        <w:t>视频智能分析系统主要用在园区周界围墙和出入口等处，防止非法人员通过周界围墙走私、调换货物。系统直接采用前端智能分析摄像机和智能跟踪球机进行实时智能行为分析及入侵人员的自动跟踪，采用前端智能分析设备可有效降低视频传输带来的时延，及时保证周界和出入口区域的安全。</w:t>
      </w:r>
    </w:p>
    <w:p>
      <w:pPr>
        <w:pStyle w:val="19"/>
        <w:numPr>
          <w:ilvl w:val="0"/>
          <w:numId w:val="7"/>
        </w:numPr>
        <w:ind w:left="993" w:hanging="513" w:firstLineChars="0"/>
        <w:rPr>
          <w:rFonts w:hint="eastAsia" w:ascii="仿宋_GB2312" w:hAnsi="微软雅黑" w:eastAsia="仿宋_GB2312" w:cs="宋体"/>
          <w:b/>
          <w:kern w:val="0"/>
          <w:sz w:val="28"/>
          <w:szCs w:val="28"/>
        </w:rPr>
      </w:pPr>
      <w:r>
        <w:rPr>
          <w:rFonts w:hint="eastAsia" w:ascii="仿宋_GB2312" w:hAnsi="微软雅黑" w:eastAsia="仿宋_GB2312" w:cs="宋体"/>
          <w:b/>
          <w:kern w:val="0"/>
          <w:sz w:val="28"/>
          <w:szCs w:val="28"/>
        </w:rPr>
        <w:t>车辆抓拍识别系统</w:t>
      </w:r>
    </w:p>
    <w:p>
      <w:pPr>
        <w:pStyle w:val="18"/>
        <w:ind w:firstLine="560"/>
        <w:rPr>
          <w:rFonts w:hint="eastAsia" w:ascii="仿宋_GB2312" w:hAnsi="微软雅黑" w:eastAsia="仿宋_GB2312"/>
          <w:sz w:val="28"/>
          <w:szCs w:val="28"/>
        </w:rPr>
      </w:pPr>
      <w:r>
        <w:rPr>
          <w:rFonts w:hint="eastAsia" w:ascii="仿宋_GB2312" w:hAnsi="微软雅黑" w:eastAsia="仿宋_GB2312"/>
          <w:sz w:val="28"/>
          <w:szCs w:val="28"/>
        </w:rPr>
        <w:t>车辆抓拍识别系统主要用在园区车辆通关卡口对进出园区的车辆进行车辆抓拍、车牌识别、车型辨别、车身颜色识别、驾驶室人员记录和后检索，可有效记录进出园区车辆和对应驾驶人员的相关信息，便于事后查询。同时，系统还可对进出园区的车辆进行统计。</w:t>
      </w:r>
    </w:p>
    <w:p>
      <w:pPr>
        <w:pStyle w:val="19"/>
        <w:numPr>
          <w:ilvl w:val="0"/>
          <w:numId w:val="7"/>
        </w:numPr>
        <w:ind w:left="993" w:hanging="513" w:firstLineChars="0"/>
        <w:rPr>
          <w:rFonts w:hint="eastAsia" w:ascii="仿宋_GB2312" w:hAnsi="微软雅黑" w:eastAsia="仿宋_GB2312" w:cs="宋体"/>
          <w:b/>
          <w:kern w:val="0"/>
          <w:sz w:val="28"/>
          <w:szCs w:val="28"/>
        </w:rPr>
      </w:pPr>
      <w:r>
        <w:rPr>
          <w:rFonts w:hint="eastAsia" w:ascii="仿宋_GB2312" w:hAnsi="微软雅黑" w:eastAsia="仿宋_GB2312" w:cs="宋体"/>
          <w:b/>
          <w:kern w:val="0"/>
          <w:sz w:val="28"/>
          <w:szCs w:val="28"/>
        </w:rPr>
        <w:t>周界防范系统</w:t>
      </w:r>
    </w:p>
    <w:p>
      <w:pPr>
        <w:ind w:firstLine="480"/>
        <w:rPr>
          <w:rFonts w:hint="eastAsia" w:ascii="仿宋_GB2312" w:hAnsi="微软雅黑" w:eastAsia="仿宋_GB2312"/>
          <w:sz w:val="28"/>
          <w:szCs w:val="28"/>
        </w:rPr>
      </w:pPr>
      <w:r>
        <w:rPr>
          <w:rFonts w:hint="eastAsia" w:ascii="仿宋_GB2312" w:hAnsi="微软雅黑" w:eastAsia="仿宋_GB2312"/>
          <w:sz w:val="28"/>
          <w:szCs w:val="28"/>
        </w:rPr>
        <w:t>园区智能安防监控系统中，周界防范系统主要承担了园区的周界安全保卫工作，主要由部署在院墙四周的红外对射或者电子围栏设备组成，并与视频监控系统形成联动机制，实现报警联动。</w:t>
      </w:r>
    </w:p>
    <w:p>
      <w:pPr>
        <w:pStyle w:val="19"/>
        <w:numPr>
          <w:ilvl w:val="0"/>
          <w:numId w:val="7"/>
        </w:numPr>
        <w:ind w:left="993" w:hanging="513" w:firstLineChars="0"/>
        <w:rPr>
          <w:rFonts w:hint="eastAsia" w:ascii="仿宋_GB2312" w:hAnsi="微软雅黑" w:eastAsia="仿宋_GB2312" w:cs="宋体"/>
          <w:b/>
          <w:kern w:val="0"/>
          <w:sz w:val="28"/>
          <w:szCs w:val="28"/>
        </w:rPr>
      </w:pPr>
      <w:r>
        <w:rPr>
          <w:rFonts w:hint="eastAsia" w:ascii="仿宋_GB2312" w:hAnsi="微软雅黑" w:eastAsia="仿宋_GB2312" w:cs="宋体"/>
          <w:b/>
          <w:kern w:val="0"/>
          <w:sz w:val="28"/>
          <w:szCs w:val="28"/>
        </w:rPr>
        <w:t>违禁物品检测系统</w:t>
      </w:r>
    </w:p>
    <w:p>
      <w:pPr>
        <w:ind w:firstLine="480"/>
        <w:rPr>
          <w:rFonts w:hint="eastAsia" w:ascii="仿宋_GB2312" w:hAnsi="微软雅黑" w:eastAsia="仿宋_GB2312"/>
          <w:sz w:val="28"/>
          <w:szCs w:val="28"/>
        </w:rPr>
      </w:pPr>
      <w:r>
        <w:rPr>
          <w:rFonts w:hint="eastAsia" w:ascii="仿宋_GB2312" w:hAnsi="微软雅黑" w:eastAsia="仿宋_GB2312"/>
          <w:sz w:val="28"/>
          <w:szCs w:val="28"/>
        </w:rPr>
        <w:t>为了防止违法犯罪，过境人员及车辆通关物品，必须经过安全检测。为此，园区需要配备安检设备，如X光检测仪、金属探测器、手持探测器等设备。</w:t>
      </w:r>
    </w:p>
    <w:p>
      <w:pPr>
        <w:pStyle w:val="10"/>
        <w:rPr>
          <w:rFonts w:hint="eastAsia" w:ascii="仿宋_GB2312" w:hAnsi="微软雅黑" w:eastAsia="仿宋_GB2312"/>
          <w:bCs w:val="0"/>
          <w:sz w:val="28"/>
          <w:szCs w:val="28"/>
        </w:rPr>
      </w:pPr>
      <w:r>
        <w:rPr>
          <w:rFonts w:hint="eastAsia" w:ascii="仿宋_GB2312" w:hAnsi="微软雅黑" w:eastAsia="仿宋_GB2312"/>
          <w:b w:val="0"/>
          <w:bCs w:val="0"/>
          <w:sz w:val="28"/>
          <w:szCs w:val="28"/>
        </w:rPr>
        <w:br w:type="page"/>
      </w:r>
      <w:bookmarkStart w:id="102" w:name="_Toc25152"/>
      <w:r>
        <w:rPr>
          <w:rFonts w:hint="eastAsia" w:ascii="仿宋_GB2312" w:hAnsi="微软雅黑" w:eastAsia="仿宋_GB2312"/>
          <w:sz w:val="36"/>
          <w:szCs w:val="36"/>
        </w:rPr>
        <w:t>四、智能卡口系统</w:t>
      </w:r>
      <w:bookmarkEnd w:id="102"/>
    </w:p>
    <w:p>
      <w:pPr>
        <w:spacing w:line="360" w:lineRule="auto"/>
        <w:ind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本次项目需建设一套海关标准的智能卡口系统，其中包含4条B类通道，及1条进出共用的行政通道，以对进出卡口的车辆实现信息化、智能化管理，以此提高作业效率。</w:t>
      </w:r>
    </w:p>
    <w:p>
      <w:pPr>
        <w:spacing w:line="360" w:lineRule="auto"/>
        <w:ind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以上需要建设的B类通道需包含电子车牌自动识别系统、非接触式IC卡自动采集系统、电子地磅采集系统、自动放行控制系统等;</w:t>
      </w:r>
    </w:p>
    <w:p>
      <w:pPr>
        <w:spacing w:line="360" w:lineRule="auto"/>
        <w:ind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同时为实现卡口系统的正常运营，系统需要集中监控中心并配置辅助系统。辅助系统需包括制卡中心备案系统、UPS不间断电源系统等。</w:t>
      </w:r>
      <w:r>
        <w:rPr>
          <w:rFonts w:ascii="仿宋_GB2312" w:hAnsi="微软雅黑" w:eastAsia="仿宋_GB2312"/>
          <w:sz w:val="28"/>
          <w:szCs w:val="28"/>
        </w:rPr>
        <w:drawing>
          <wp:inline distT="0" distB="0" distL="114300" distR="114300">
            <wp:extent cx="6180455" cy="4442460"/>
            <wp:effectExtent l="0" t="0" r="10795" b="15240"/>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9"/>
                    <a:stretch>
                      <a:fillRect/>
                    </a:stretch>
                  </pic:blipFill>
                  <pic:spPr>
                    <a:xfrm>
                      <a:off x="0" y="0"/>
                      <a:ext cx="6180455" cy="4442460"/>
                    </a:xfrm>
                    <a:prstGeom prst="rect">
                      <a:avLst/>
                    </a:prstGeom>
                    <a:noFill/>
                    <a:ln w="9525">
                      <a:noFill/>
                    </a:ln>
                  </pic:spPr>
                </pic:pic>
              </a:graphicData>
            </a:graphic>
          </wp:inline>
        </w:drawing>
      </w:r>
    </w:p>
    <w:p>
      <w:pPr>
        <w:pStyle w:val="19"/>
        <w:ind w:firstLine="643"/>
        <w:rPr>
          <w:rFonts w:hint="eastAsia"/>
          <w:b/>
          <w:sz w:val="32"/>
        </w:rPr>
      </w:pPr>
      <w:bookmarkStart w:id="103" w:name="_Toc27040"/>
      <w:r>
        <w:rPr>
          <w:rFonts w:hint="eastAsia"/>
          <w:b/>
          <w:sz w:val="32"/>
        </w:rPr>
        <w:t>项目建设目标</w:t>
      </w:r>
      <w:bookmarkEnd w:id="103"/>
    </w:p>
    <w:p>
      <w:pPr>
        <w:spacing w:line="360" w:lineRule="auto"/>
        <w:ind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本项目建设完成后需实现如下功能：</w:t>
      </w:r>
    </w:p>
    <w:p>
      <w:pPr>
        <w:pStyle w:val="15"/>
        <w:numPr>
          <w:ilvl w:val="0"/>
          <w:numId w:val="8"/>
        </w:numPr>
        <w:ind w:firstLine="207" w:firstLineChars="0"/>
        <w:rPr>
          <w:rFonts w:hint="eastAsia" w:ascii="仿宋_GB2312" w:hAnsi="微软雅黑" w:eastAsia="仿宋_GB2312"/>
          <w:sz w:val="28"/>
          <w:szCs w:val="28"/>
        </w:rPr>
      </w:pPr>
      <w:r>
        <w:rPr>
          <w:rFonts w:hint="eastAsia" w:ascii="仿宋_GB2312" w:hAnsi="微软雅黑" w:eastAsia="仿宋_GB2312"/>
          <w:sz w:val="28"/>
          <w:szCs w:val="28"/>
        </w:rPr>
        <w:t>实现通道过卡业务信息实时监控功能；</w:t>
      </w:r>
    </w:p>
    <w:p>
      <w:pPr>
        <w:pStyle w:val="15"/>
        <w:numPr>
          <w:ilvl w:val="0"/>
          <w:numId w:val="8"/>
        </w:numPr>
        <w:ind w:firstLine="207" w:firstLineChars="0"/>
        <w:rPr>
          <w:rFonts w:hint="eastAsia" w:ascii="仿宋_GB2312" w:hAnsi="微软雅黑" w:eastAsia="仿宋_GB2312"/>
          <w:sz w:val="28"/>
          <w:szCs w:val="28"/>
        </w:rPr>
      </w:pPr>
      <w:r>
        <w:rPr>
          <w:rFonts w:hint="eastAsia" w:ascii="仿宋_GB2312" w:hAnsi="微软雅黑" w:eastAsia="仿宋_GB2312"/>
          <w:sz w:val="28"/>
          <w:szCs w:val="28"/>
        </w:rPr>
        <w:t>实现业务运行非正常情况下告警提示功能；</w:t>
      </w:r>
    </w:p>
    <w:p>
      <w:pPr>
        <w:pStyle w:val="15"/>
        <w:numPr>
          <w:ilvl w:val="0"/>
          <w:numId w:val="8"/>
        </w:numPr>
        <w:ind w:firstLine="207" w:firstLineChars="0"/>
        <w:rPr>
          <w:rFonts w:hint="eastAsia" w:ascii="仿宋_GB2312" w:hAnsi="微软雅黑" w:eastAsia="仿宋_GB2312"/>
          <w:sz w:val="28"/>
          <w:szCs w:val="28"/>
        </w:rPr>
      </w:pPr>
      <w:r>
        <w:rPr>
          <w:rFonts w:hint="eastAsia" w:ascii="仿宋_GB2312" w:hAnsi="微软雅黑" w:eastAsia="仿宋_GB2312"/>
          <w:sz w:val="28"/>
          <w:szCs w:val="28"/>
        </w:rPr>
        <w:t>提供设备运行状态实时监控，异常告警功能；</w:t>
      </w:r>
    </w:p>
    <w:p>
      <w:pPr>
        <w:pStyle w:val="15"/>
        <w:numPr>
          <w:ilvl w:val="0"/>
          <w:numId w:val="8"/>
        </w:numPr>
        <w:ind w:firstLine="207" w:firstLineChars="0"/>
        <w:rPr>
          <w:rFonts w:hint="eastAsia" w:ascii="仿宋_GB2312" w:hAnsi="微软雅黑" w:eastAsia="仿宋_GB2312"/>
          <w:sz w:val="28"/>
          <w:szCs w:val="28"/>
        </w:rPr>
      </w:pPr>
      <w:r>
        <w:rPr>
          <w:rFonts w:hint="eastAsia" w:ascii="仿宋_GB2312" w:hAnsi="微软雅黑" w:eastAsia="仿宋_GB2312"/>
          <w:sz w:val="28"/>
          <w:szCs w:val="28"/>
        </w:rPr>
        <w:t>实现电子车牌或IC卡自动识别功能；</w:t>
      </w:r>
    </w:p>
    <w:p>
      <w:pPr>
        <w:pStyle w:val="15"/>
        <w:numPr>
          <w:ilvl w:val="0"/>
          <w:numId w:val="8"/>
        </w:numPr>
        <w:ind w:firstLine="207" w:firstLineChars="0"/>
        <w:rPr>
          <w:rFonts w:hint="eastAsia" w:ascii="仿宋_GB2312" w:hAnsi="微软雅黑" w:eastAsia="仿宋_GB2312"/>
          <w:sz w:val="28"/>
          <w:szCs w:val="28"/>
        </w:rPr>
      </w:pPr>
      <w:r>
        <w:rPr>
          <w:rFonts w:hint="eastAsia" w:ascii="仿宋_GB2312" w:hAnsi="微软雅黑" w:eastAsia="仿宋_GB2312"/>
          <w:sz w:val="28"/>
          <w:szCs w:val="28"/>
        </w:rPr>
        <w:t>实现通道过卡车辆采集数据上传海关物流监控平台功能；</w:t>
      </w:r>
    </w:p>
    <w:p>
      <w:pPr>
        <w:pStyle w:val="15"/>
        <w:numPr>
          <w:ilvl w:val="0"/>
          <w:numId w:val="8"/>
        </w:numPr>
        <w:ind w:firstLine="207" w:firstLineChars="0"/>
        <w:rPr>
          <w:rFonts w:hint="eastAsia" w:ascii="仿宋_GB2312" w:hAnsi="微软雅黑" w:eastAsia="仿宋_GB2312"/>
          <w:sz w:val="28"/>
          <w:szCs w:val="28"/>
        </w:rPr>
      </w:pPr>
      <w:r>
        <w:rPr>
          <w:rFonts w:hint="eastAsia" w:ascii="仿宋_GB2312" w:hAnsi="微软雅黑" w:eastAsia="仿宋_GB2312"/>
          <w:sz w:val="28"/>
          <w:szCs w:val="28"/>
        </w:rPr>
        <w:t>实现接收海关物流监控平台下发的放行控制指令，并根据指令内容进行相应的处理；</w:t>
      </w:r>
    </w:p>
    <w:p>
      <w:pPr>
        <w:spacing w:line="276" w:lineRule="auto"/>
        <w:rPr>
          <w:rFonts w:hint="eastAsia" w:ascii="仿宋_GB2312" w:hAnsi="微软雅黑" w:eastAsia="仿宋_GB2312"/>
          <w:sz w:val="28"/>
          <w:szCs w:val="28"/>
        </w:rPr>
      </w:pPr>
      <w:r>
        <w:rPr>
          <w:rFonts w:hint="eastAsia" w:ascii="仿宋_GB2312" w:hAnsi="微软雅黑" w:eastAsia="仿宋_GB2312"/>
          <w:sz w:val="28"/>
          <w:szCs w:val="28"/>
        </w:rPr>
        <w:br w:type="page"/>
      </w:r>
    </w:p>
    <w:p>
      <w:pPr>
        <w:pStyle w:val="19"/>
        <w:ind w:firstLine="643"/>
        <w:rPr>
          <w:rFonts w:hint="eastAsia"/>
          <w:b/>
          <w:sz w:val="32"/>
        </w:rPr>
      </w:pPr>
      <w:bookmarkStart w:id="104" w:name="_Toc12428"/>
      <w:r>
        <w:rPr>
          <w:rFonts w:hint="eastAsia"/>
          <w:b/>
          <w:sz w:val="32"/>
        </w:rPr>
        <w:t>通道部署设计</w:t>
      </w:r>
      <w:bookmarkEnd w:id="104"/>
    </w:p>
    <w:p>
      <w:pPr>
        <w:spacing w:line="360" w:lineRule="auto"/>
        <w:ind w:firstLine="560" w:firstLineChars="200"/>
        <w:rPr>
          <w:rFonts w:hint="eastAsia" w:ascii="仿宋_GB2312" w:hAnsi="微软雅黑" w:eastAsia="仿宋_GB2312"/>
          <w:sz w:val="28"/>
          <w:szCs w:val="28"/>
        </w:rPr>
      </w:pPr>
      <w:r>
        <w:rPr>
          <w:rFonts w:hint="eastAsia" w:ascii="仿宋_GB2312" w:hAnsi="微软雅黑" w:eastAsia="仿宋_GB2312"/>
          <w:sz w:val="28"/>
          <w:szCs w:val="28"/>
        </w:rPr>
        <w:t>卡口通道建设后设备部署示意图如下：</w:t>
      </w:r>
    </w:p>
    <w:p>
      <w:pPr>
        <w:spacing w:line="360" w:lineRule="auto"/>
        <w:ind w:firstLine="560" w:firstLineChars="200"/>
        <w:jc w:val="left"/>
        <w:rPr>
          <w:rFonts w:hint="eastAsia" w:ascii="仿宋_GB2312" w:hAnsi="微软雅黑" w:eastAsia="仿宋_GB2312"/>
          <w:sz w:val="28"/>
          <w:szCs w:val="28"/>
        </w:rPr>
      </w:pPr>
      <w:r>
        <w:rPr>
          <w:rFonts w:ascii="仿宋_GB2312" w:hAnsi="微软雅黑" w:eastAsia="仿宋_GB2312"/>
          <w:sz w:val="28"/>
          <w:szCs w:val="28"/>
        </w:rPr>
        <w:drawing>
          <wp:inline distT="0" distB="0" distL="114300" distR="114300">
            <wp:extent cx="4486275" cy="5486400"/>
            <wp:effectExtent l="0" t="0" r="9525" b="0"/>
            <wp:docPr id="11" name="图片 5" descr="通道示意图--许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descr="通道示意图--许昌"/>
                    <pic:cNvPicPr>
                      <a:picLocks noChangeAspect="1"/>
                    </pic:cNvPicPr>
                  </pic:nvPicPr>
                  <pic:blipFill>
                    <a:blip r:embed="rId10"/>
                    <a:stretch>
                      <a:fillRect/>
                    </a:stretch>
                  </pic:blipFill>
                  <pic:spPr>
                    <a:xfrm>
                      <a:off x="0" y="0"/>
                      <a:ext cx="4486275" cy="5486400"/>
                    </a:xfrm>
                    <a:prstGeom prst="rect">
                      <a:avLst/>
                    </a:prstGeom>
                    <a:noFill/>
                    <a:ln w="9525">
                      <a:noFill/>
                    </a:ln>
                  </pic:spPr>
                </pic:pic>
              </a:graphicData>
            </a:graphic>
          </wp:inline>
        </w:drawing>
      </w:r>
    </w:p>
    <w:p>
      <w:pPr>
        <w:spacing w:line="360" w:lineRule="auto"/>
        <w:ind w:firstLine="420" w:firstLineChars="200"/>
        <w:jc w:val="center"/>
        <w:rPr>
          <w:rFonts w:hint="eastAsia" w:ascii="仿宋_GB2312" w:hAnsi="微软雅黑" w:eastAsia="仿宋_GB2312"/>
          <w:b/>
        </w:rPr>
      </w:pPr>
      <w:r>
        <w:rPr>
          <w:rFonts w:hint="eastAsia" w:ascii="仿宋_GB2312" w:hAnsi="微软雅黑" w:eastAsia="仿宋_GB2312"/>
          <w:b/>
        </w:rPr>
        <w:t>卡口通道设备部署示意图</w:t>
      </w:r>
    </w:p>
    <w:p>
      <w:pPr>
        <w:spacing w:line="276" w:lineRule="auto"/>
        <w:rPr>
          <w:rFonts w:hint="eastAsia" w:ascii="仿宋_GB2312" w:hAnsi="微软雅黑" w:eastAsia="仿宋_GB2312"/>
          <w:b/>
        </w:rPr>
      </w:pPr>
      <w:r>
        <w:rPr>
          <w:rFonts w:hint="eastAsia" w:ascii="仿宋_GB2312" w:hAnsi="微软雅黑" w:eastAsia="仿宋_GB2312"/>
          <w:b/>
        </w:rPr>
        <w:br w:type="page"/>
      </w:r>
    </w:p>
    <w:p>
      <w:pPr>
        <w:spacing w:line="360" w:lineRule="auto"/>
        <w:ind w:firstLine="420" w:firstLineChars="200"/>
        <w:jc w:val="center"/>
        <w:rPr>
          <w:rFonts w:hint="eastAsia" w:ascii="仿宋_GB2312" w:hAnsi="微软雅黑" w:eastAsia="仿宋_GB2312"/>
          <w:b/>
        </w:rPr>
      </w:pPr>
    </w:p>
    <w:p>
      <w:pPr>
        <w:spacing w:line="360" w:lineRule="auto"/>
        <w:rPr>
          <w:rFonts w:hint="eastAsia" w:ascii="仿宋_GB2312" w:hAnsi="微软雅黑" w:eastAsia="仿宋_GB2312"/>
          <w:b/>
        </w:rPr>
      </w:pPr>
      <w:r>
        <w:rPr>
          <w:rFonts w:hint="eastAsia" w:ascii="仿宋_GB2312" w:hAnsi="微软雅黑" w:eastAsia="仿宋_GB2312"/>
          <w:sz w:val="28"/>
          <w:szCs w:val="28"/>
        </w:rPr>
        <w:t>卡口设备配置如下表所示：</w:t>
      </w:r>
    </w:p>
    <w:tbl>
      <w:tblPr>
        <w:tblStyle w:val="12"/>
        <w:tblW w:w="860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1427"/>
        <w:gridCol w:w="938"/>
        <w:gridCol w:w="851"/>
        <w:gridCol w:w="709"/>
        <w:gridCol w:w="992"/>
        <w:gridCol w:w="992"/>
        <w:gridCol w:w="901"/>
        <w:gridCol w:w="10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27" w:hRule="atLeast"/>
          <w:jc w:val="center"/>
        </w:trPr>
        <w:tc>
          <w:tcPr>
            <w:tcW w:w="709" w:type="dxa"/>
            <w:vAlign w:val="center"/>
          </w:tcPr>
          <w:p>
            <w:pPr>
              <w:spacing w:before="156" w:beforeLines="50" w:line="360" w:lineRule="auto"/>
              <w:jc w:val="center"/>
              <w:rPr>
                <w:rFonts w:hint="eastAsia" w:ascii="仿宋_GB2312" w:hAnsi="微软雅黑" w:eastAsia="仿宋_GB2312"/>
                <w:b/>
              </w:rPr>
            </w:pPr>
            <w:r>
              <w:rPr>
                <w:rFonts w:hint="eastAsia" w:ascii="仿宋_GB2312" w:hAnsi="微软雅黑" w:eastAsia="仿宋_GB2312"/>
                <w:b/>
              </w:rPr>
              <w:t>序号</w:t>
            </w:r>
          </w:p>
        </w:tc>
        <w:tc>
          <w:tcPr>
            <w:tcW w:w="1427" w:type="dxa"/>
            <w:vAlign w:val="center"/>
          </w:tcPr>
          <w:p>
            <w:pPr>
              <w:spacing w:before="156" w:beforeLines="50" w:line="360" w:lineRule="auto"/>
              <w:jc w:val="center"/>
              <w:rPr>
                <w:rFonts w:hint="eastAsia" w:ascii="仿宋_GB2312" w:hAnsi="微软雅黑" w:eastAsia="仿宋_GB2312"/>
                <w:b/>
              </w:rPr>
            </w:pPr>
            <w:r>
              <w:rPr>
                <w:rFonts w:hint="eastAsia" w:ascii="仿宋_GB2312" w:hAnsi="微软雅黑" w:eastAsia="仿宋_GB2312"/>
                <w:b/>
              </w:rPr>
              <w:t>通道名称</w:t>
            </w:r>
          </w:p>
        </w:tc>
        <w:tc>
          <w:tcPr>
            <w:tcW w:w="938" w:type="dxa"/>
            <w:vAlign w:val="center"/>
          </w:tcPr>
          <w:p>
            <w:pPr>
              <w:spacing w:before="156" w:beforeLines="50" w:line="360" w:lineRule="auto"/>
              <w:jc w:val="center"/>
              <w:rPr>
                <w:rFonts w:hint="eastAsia" w:ascii="仿宋_GB2312" w:hAnsi="微软雅黑" w:eastAsia="仿宋_GB2312"/>
                <w:b/>
              </w:rPr>
            </w:pPr>
            <w:r>
              <w:rPr>
                <w:rFonts w:hint="eastAsia" w:ascii="仿宋_GB2312" w:hAnsi="微软雅黑" w:eastAsia="仿宋_GB2312"/>
                <w:b/>
              </w:rPr>
              <w:t>电子车牌识别</w:t>
            </w:r>
          </w:p>
        </w:tc>
        <w:tc>
          <w:tcPr>
            <w:tcW w:w="851" w:type="dxa"/>
            <w:vAlign w:val="center"/>
          </w:tcPr>
          <w:p>
            <w:pPr>
              <w:spacing w:before="156" w:beforeLines="50" w:line="360" w:lineRule="auto"/>
              <w:jc w:val="center"/>
              <w:rPr>
                <w:rFonts w:hint="eastAsia" w:ascii="仿宋_GB2312" w:hAnsi="微软雅黑" w:eastAsia="仿宋_GB2312"/>
                <w:b/>
              </w:rPr>
            </w:pPr>
            <w:r>
              <w:rPr>
                <w:rFonts w:hint="eastAsia" w:ascii="仿宋_GB2312" w:hAnsi="微软雅黑" w:eastAsia="仿宋_GB2312"/>
                <w:b/>
              </w:rPr>
              <w:t>IC卡采集</w:t>
            </w:r>
          </w:p>
        </w:tc>
        <w:tc>
          <w:tcPr>
            <w:tcW w:w="709" w:type="dxa"/>
            <w:vAlign w:val="center"/>
          </w:tcPr>
          <w:p>
            <w:pPr>
              <w:spacing w:before="156" w:beforeLines="50" w:line="360" w:lineRule="auto"/>
              <w:jc w:val="center"/>
              <w:rPr>
                <w:rFonts w:hint="eastAsia" w:ascii="仿宋_GB2312" w:hAnsi="微软雅黑" w:eastAsia="仿宋_GB2312"/>
                <w:b/>
              </w:rPr>
            </w:pPr>
            <w:r>
              <w:rPr>
                <w:rFonts w:hint="eastAsia" w:ascii="仿宋_GB2312" w:hAnsi="微软雅黑" w:eastAsia="仿宋_GB2312"/>
                <w:b/>
              </w:rPr>
              <w:t>电子地磅</w:t>
            </w:r>
          </w:p>
        </w:tc>
        <w:tc>
          <w:tcPr>
            <w:tcW w:w="992" w:type="dxa"/>
            <w:vAlign w:val="center"/>
          </w:tcPr>
          <w:p>
            <w:pPr>
              <w:spacing w:before="156" w:beforeLines="50" w:line="360" w:lineRule="auto"/>
              <w:jc w:val="center"/>
              <w:rPr>
                <w:rFonts w:hint="eastAsia" w:ascii="仿宋_GB2312" w:hAnsi="微软雅黑" w:eastAsia="仿宋_GB2312"/>
                <w:b/>
              </w:rPr>
            </w:pPr>
            <w:r>
              <w:rPr>
                <w:rFonts w:hint="eastAsia" w:ascii="仿宋_GB2312" w:hAnsi="微软雅黑" w:eastAsia="仿宋_GB2312"/>
                <w:b/>
              </w:rPr>
              <w:t>放行控制系统</w:t>
            </w:r>
          </w:p>
        </w:tc>
        <w:tc>
          <w:tcPr>
            <w:tcW w:w="992" w:type="dxa"/>
            <w:vAlign w:val="center"/>
          </w:tcPr>
          <w:p>
            <w:pPr>
              <w:spacing w:before="156" w:beforeLines="50" w:line="360" w:lineRule="auto"/>
              <w:jc w:val="center"/>
              <w:rPr>
                <w:rFonts w:hint="eastAsia" w:ascii="仿宋_GB2312" w:hAnsi="微软雅黑" w:eastAsia="仿宋_GB2312"/>
                <w:b/>
              </w:rPr>
            </w:pPr>
            <w:r>
              <w:rPr>
                <w:rFonts w:hint="eastAsia" w:ascii="仿宋_GB2312" w:hAnsi="微软雅黑" w:eastAsia="仿宋_GB2312"/>
                <w:b/>
              </w:rPr>
              <w:t>集中监控中心</w:t>
            </w:r>
          </w:p>
        </w:tc>
        <w:tc>
          <w:tcPr>
            <w:tcW w:w="901" w:type="dxa"/>
            <w:vAlign w:val="center"/>
          </w:tcPr>
          <w:p>
            <w:pPr>
              <w:spacing w:before="156" w:beforeLines="50" w:line="360" w:lineRule="auto"/>
              <w:jc w:val="center"/>
              <w:rPr>
                <w:rFonts w:hint="eastAsia" w:ascii="仿宋_GB2312" w:hAnsi="微软雅黑" w:eastAsia="仿宋_GB2312"/>
                <w:b/>
              </w:rPr>
            </w:pPr>
            <w:r>
              <w:rPr>
                <w:rFonts w:hint="eastAsia" w:ascii="仿宋_GB2312" w:hAnsi="微软雅黑" w:eastAsia="仿宋_GB2312"/>
                <w:b/>
              </w:rPr>
              <w:t>制卡中心备案</w:t>
            </w:r>
          </w:p>
        </w:tc>
        <w:tc>
          <w:tcPr>
            <w:tcW w:w="1089" w:type="dxa"/>
            <w:vAlign w:val="center"/>
          </w:tcPr>
          <w:p>
            <w:pPr>
              <w:spacing w:before="156" w:beforeLines="50" w:line="360" w:lineRule="auto"/>
              <w:jc w:val="center"/>
              <w:rPr>
                <w:rFonts w:hint="eastAsia" w:ascii="仿宋_GB2312" w:hAnsi="微软雅黑" w:eastAsia="仿宋_GB2312"/>
                <w:b/>
              </w:rPr>
            </w:pPr>
            <w:r>
              <w:rPr>
                <w:rFonts w:hint="eastAsia" w:ascii="仿宋_GB2312" w:hAnsi="微软雅黑" w:eastAsia="仿宋_GB2312"/>
                <w:b/>
              </w:rPr>
              <w:t>UPS不间断电源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21" w:hRule="atLeast"/>
          <w:jc w:val="center"/>
        </w:trPr>
        <w:tc>
          <w:tcPr>
            <w:tcW w:w="709"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1</w:t>
            </w:r>
          </w:p>
        </w:tc>
        <w:tc>
          <w:tcPr>
            <w:tcW w:w="1427" w:type="dxa"/>
            <w:vAlign w:val="center"/>
          </w:tcPr>
          <w:p>
            <w:pPr>
              <w:spacing w:before="156" w:beforeLines="50"/>
              <w:jc w:val="center"/>
              <w:rPr>
                <w:rFonts w:hint="eastAsia" w:ascii="仿宋_GB2312" w:hAnsi="微软雅黑" w:eastAsia="仿宋_GB2312"/>
              </w:rPr>
            </w:pPr>
            <w:r>
              <w:rPr>
                <w:rFonts w:hint="eastAsia" w:ascii="仿宋_GB2312" w:hAnsi="微软雅黑" w:eastAsia="仿宋_GB2312"/>
              </w:rPr>
              <w:t>进通道1</w:t>
            </w:r>
          </w:p>
          <w:p>
            <w:pPr>
              <w:spacing w:before="156" w:beforeLines="50"/>
              <w:jc w:val="center"/>
              <w:rPr>
                <w:rFonts w:hint="eastAsia" w:ascii="仿宋_GB2312" w:hAnsi="微软雅黑" w:eastAsia="仿宋_GB2312"/>
              </w:rPr>
            </w:pPr>
            <w:r>
              <w:rPr>
                <w:rFonts w:hint="eastAsia" w:ascii="仿宋_GB2312" w:hAnsi="微软雅黑" w:eastAsia="仿宋_GB2312"/>
              </w:rPr>
              <w:t>(A类)</w:t>
            </w:r>
          </w:p>
        </w:tc>
        <w:tc>
          <w:tcPr>
            <w:tcW w:w="938"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w:t>
            </w:r>
          </w:p>
        </w:tc>
        <w:tc>
          <w:tcPr>
            <w:tcW w:w="851"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w:t>
            </w:r>
          </w:p>
        </w:tc>
        <w:tc>
          <w:tcPr>
            <w:tcW w:w="709"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w:t>
            </w:r>
          </w:p>
        </w:tc>
        <w:tc>
          <w:tcPr>
            <w:tcW w:w="992"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w:t>
            </w:r>
          </w:p>
        </w:tc>
        <w:tc>
          <w:tcPr>
            <w:tcW w:w="992" w:type="dxa"/>
            <w:vMerge w:val="restart"/>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w:t>
            </w:r>
          </w:p>
        </w:tc>
        <w:tc>
          <w:tcPr>
            <w:tcW w:w="901" w:type="dxa"/>
            <w:vMerge w:val="restart"/>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w:t>
            </w:r>
          </w:p>
        </w:tc>
        <w:tc>
          <w:tcPr>
            <w:tcW w:w="1089" w:type="dxa"/>
            <w:vMerge w:val="restart"/>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21" w:hRule="atLeast"/>
          <w:jc w:val="center"/>
        </w:trPr>
        <w:tc>
          <w:tcPr>
            <w:tcW w:w="709"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2</w:t>
            </w:r>
          </w:p>
        </w:tc>
        <w:tc>
          <w:tcPr>
            <w:tcW w:w="1427" w:type="dxa"/>
            <w:vAlign w:val="center"/>
          </w:tcPr>
          <w:p>
            <w:pPr>
              <w:spacing w:before="156" w:beforeLines="50"/>
              <w:jc w:val="center"/>
              <w:rPr>
                <w:rFonts w:hint="eastAsia" w:ascii="仿宋_GB2312" w:hAnsi="微软雅黑" w:eastAsia="仿宋_GB2312"/>
              </w:rPr>
            </w:pPr>
            <w:r>
              <w:rPr>
                <w:rFonts w:hint="eastAsia" w:ascii="仿宋_GB2312" w:hAnsi="微软雅黑" w:eastAsia="仿宋_GB2312"/>
              </w:rPr>
              <w:t>进通道2</w:t>
            </w:r>
          </w:p>
          <w:p>
            <w:pPr>
              <w:spacing w:before="156" w:beforeLines="50"/>
              <w:jc w:val="center"/>
              <w:rPr>
                <w:rFonts w:hint="eastAsia" w:ascii="仿宋_GB2312" w:hAnsi="微软雅黑" w:eastAsia="仿宋_GB2312"/>
              </w:rPr>
            </w:pPr>
            <w:r>
              <w:rPr>
                <w:rFonts w:hint="eastAsia" w:ascii="仿宋_GB2312" w:hAnsi="微软雅黑" w:eastAsia="仿宋_GB2312"/>
              </w:rPr>
              <w:t>(C类)</w:t>
            </w:r>
          </w:p>
        </w:tc>
        <w:tc>
          <w:tcPr>
            <w:tcW w:w="938" w:type="dxa"/>
            <w:vAlign w:val="center"/>
          </w:tcPr>
          <w:p>
            <w:pPr>
              <w:spacing w:before="156" w:beforeLines="50" w:line="360" w:lineRule="auto"/>
              <w:jc w:val="center"/>
              <w:rPr>
                <w:rFonts w:hint="eastAsia" w:ascii="仿宋_GB2312" w:hAnsi="微软雅黑" w:eastAsia="仿宋_GB2312"/>
              </w:rPr>
            </w:pPr>
          </w:p>
        </w:tc>
        <w:tc>
          <w:tcPr>
            <w:tcW w:w="851"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w:t>
            </w:r>
          </w:p>
        </w:tc>
        <w:tc>
          <w:tcPr>
            <w:tcW w:w="709" w:type="dxa"/>
            <w:vAlign w:val="center"/>
          </w:tcPr>
          <w:p>
            <w:pPr>
              <w:spacing w:before="156" w:beforeLines="50" w:line="360" w:lineRule="auto"/>
              <w:jc w:val="center"/>
              <w:rPr>
                <w:rFonts w:hint="eastAsia" w:ascii="仿宋_GB2312" w:hAnsi="微软雅黑" w:eastAsia="仿宋_GB2312"/>
              </w:rPr>
            </w:pPr>
          </w:p>
        </w:tc>
        <w:tc>
          <w:tcPr>
            <w:tcW w:w="992"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w:t>
            </w:r>
          </w:p>
        </w:tc>
        <w:tc>
          <w:tcPr>
            <w:tcW w:w="992" w:type="dxa"/>
            <w:vMerge w:val="continue"/>
            <w:vAlign w:val="center"/>
          </w:tcPr>
          <w:p>
            <w:pPr>
              <w:spacing w:before="156" w:beforeLines="50" w:line="360" w:lineRule="auto"/>
              <w:jc w:val="center"/>
              <w:rPr>
                <w:rFonts w:hint="eastAsia" w:ascii="仿宋_GB2312" w:hAnsi="微软雅黑" w:eastAsia="仿宋_GB2312"/>
              </w:rPr>
            </w:pPr>
          </w:p>
        </w:tc>
        <w:tc>
          <w:tcPr>
            <w:tcW w:w="901" w:type="dxa"/>
            <w:vMerge w:val="continue"/>
            <w:vAlign w:val="center"/>
          </w:tcPr>
          <w:p>
            <w:pPr>
              <w:spacing w:before="156" w:beforeLines="50" w:line="360" w:lineRule="auto"/>
              <w:jc w:val="center"/>
              <w:rPr>
                <w:rFonts w:hint="eastAsia" w:ascii="仿宋_GB2312" w:hAnsi="微软雅黑" w:eastAsia="仿宋_GB2312"/>
              </w:rPr>
            </w:pPr>
          </w:p>
        </w:tc>
        <w:tc>
          <w:tcPr>
            <w:tcW w:w="1089" w:type="dxa"/>
            <w:vMerge w:val="continue"/>
            <w:vAlign w:val="center"/>
          </w:tcPr>
          <w:p>
            <w:pPr>
              <w:spacing w:before="156" w:beforeLines="50" w:line="360" w:lineRule="auto"/>
              <w:jc w:val="center"/>
              <w:rPr>
                <w:rFonts w:hint="eastAsia" w:ascii="仿宋_GB2312" w:hAnsi="微软雅黑" w:eastAsia="仿宋_GB231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40" w:hRule="atLeast"/>
          <w:jc w:val="center"/>
        </w:trPr>
        <w:tc>
          <w:tcPr>
            <w:tcW w:w="709"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3</w:t>
            </w:r>
          </w:p>
        </w:tc>
        <w:tc>
          <w:tcPr>
            <w:tcW w:w="1427" w:type="dxa"/>
            <w:vAlign w:val="center"/>
          </w:tcPr>
          <w:p>
            <w:pPr>
              <w:spacing w:before="156" w:beforeLines="50"/>
              <w:jc w:val="center"/>
              <w:rPr>
                <w:rFonts w:hint="eastAsia" w:ascii="仿宋_GB2312" w:hAnsi="微软雅黑" w:eastAsia="仿宋_GB2312"/>
              </w:rPr>
            </w:pPr>
            <w:r>
              <w:rPr>
                <w:rFonts w:hint="eastAsia" w:ascii="仿宋_GB2312" w:hAnsi="微软雅黑" w:eastAsia="仿宋_GB2312"/>
              </w:rPr>
              <w:t>出通道1</w:t>
            </w:r>
          </w:p>
          <w:p>
            <w:pPr>
              <w:spacing w:before="156" w:beforeLines="50"/>
              <w:jc w:val="center"/>
              <w:rPr>
                <w:rFonts w:hint="eastAsia" w:ascii="仿宋_GB2312" w:hAnsi="微软雅黑" w:eastAsia="仿宋_GB2312"/>
              </w:rPr>
            </w:pPr>
            <w:r>
              <w:rPr>
                <w:rFonts w:hint="eastAsia" w:ascii="仿宋_GB2312" w:hAnsi="微软雅黑" w:eastAsia="仿宋_GB2312"/>
              </w:rPr>
              <w:t>(A类)</w:t>
            </w:r>
          </w:p>
        </w:tc>
        <w:tc>
          <w:tcPr>
            <w:tcW w:w="938"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w:t>
            </w:r>
          </w:p>
        </w:tc>
        <w:tc>
          <w:tcPr>
            <w:tcW w:w="851"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w:t>
            </w:r>
          </w:p>
        </w:tc>
        <w:tc>
          <w:tcPr>
            <w:tcW w:w="709"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w:t>
            </w:r>
          </w:p>
        </w:tc>
        <w:tc>
          <w:tcPr>
            <w:tcW w:w="992"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w:t>
            </w:r>
          </w:p>
        </w:tc>
        <w:tc>
          <w:tcPr>
            <w:tcW w:w="992" w:type="dxa"/>
            <w:vMerge w:val="continue"/>
            <w:vAlign w:val="center"/>
          </w:tcPr>
          <w:p>
            <w:pPr>
              <w:spacing w:before="156" w:beforeLines="50" w:line="360" w:lineRule="auto"/>
              <w:jc w:val="center"/>
              <w:rPr>
                <w:rFonts w:hint="eastAsia" w:ascii="仿宋_GB2312" w:hAnsi="微软雅黑" w:eastAsia="仿宋_GB2312"/>
              </w:rPr>
            </w:pPr>
          </w:p>
        </w:tc>
        <w:tc>
          <w:tcPr>
            <w:tcW w:w="901" w:type="dxa"/>
            <w:vMerge w:val="continue"/>
            <w:vAlign w:val="center"/>
          </w:tcPr>
          <w:p>
            <w:pPr>
              <w:spacing w:before="156" w:beforeLines="50" w:line="360" w:lineRule="auto"/>
              <w:jc w:val="center"/>
              <w:rPr>
                <w:rFonts w:hint="eastAsia" w:ascii="仿宋_GB2312" w:hAnsi="微软雅黑" w:eastAsia="仿宋_GB2312"/>
              </w:rPr>
            </w:pPr>
          </w:p>
        </w:tc>
        <w:tc>
          <w:tcPr>
            <w:tcW w:w="1089" w:type="dxa"/>
            <w:vMerge w:val="continue"/>
            <w:vAlign w:val="center"/>
          </w:tcPr>
          <w:p>
            <w:pPr>
              <w:spacing w:before="156" w:beforeLines="50" w:line="360" w:lineRule="auto"/>
              <w:jc w:val="center"/>
              <w:rPr>
                <w:rFonts w:hint="eastAsia" w:ascii="仿宋_GB2312" w:hAnsi="微软雅黑" w:eastAsia="仿宋_GB231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40" w:hRule="atLeast"/>
          <w:jc w:val="center"/>
        </w:trPr>
        <w:tc>
          <w:tcPr>
            <w:tcW w:w="709"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4</w:t>
            </w:r>
          </w:p>
        </w:tc>
        <w:tc>
          <w:tcPr>
            <w:tcW w:w="1427" w:type="dxa"/>
            <w:vAlign w:val="center"/>
          </w:tcPr>
          <w:p>
            <w:pPr>
              <w:spacing w:before="156" w:beforeLines="50"/>
              <w:jc w:val="center"/>
              <w:rPr>
                <w:rFonts w:hint="eastAsia" w:ascii="仿宋_GB2312" w:hAnsi="微软雅黑" w:eastAsia="仿宋_GB2312"/>
              </w:rPr>
            </w:pPr>
            <w:r>
              <w:rPr>
                <w:rFonts w:hint="eastAsia" w:ascii="仿宋_GB2312" w:hAnsi="微软雅黑" w:eastAsia="仿宋_GB2312"/>
              </w:rPr>
              <w:t>出通道2</w:t>
            </w:r>
          </w:p>
          <w:p>
            <w:pPr>
              <w:spacing w:before="156" w:beforeLines="50"/>
              <w:jc w:val="center"/>
              <w:rPr>
                <w:rFonts w:hint="eastAsia" w:ascii="仿宋_GB2312" w:hAnsi="微软雅黑" w:eastAsia="仿宋_GB2312"/>
              </w:rPr>
            </w:pPr>
            <w:r>
              <w:rPr>
                <w:rFonts w:hint="eastAsia" w:ascii="仿宋_GB2312" w:hAnsi="微软雅黑" w:eastAsia="仿宋_GB2312"/>
              </w:rPr>
              <w:t>(C类)</w:t>
            </w:r>
          </w:p>
        </w:tc>
        <w:tc>
          <w:tcPr>
            <w:tcW w:w="938" w:type="dxa"/>
            <w:vAlign w:val="center"/>
          </w:tcPr>
          <w:p>
            <w:pPr>
              <w:spacing w:before="156" w:beforeLines="50" w:line="360" w:lineRule="auto"/>
              <w:jc w:val="center"/>
              <w:rPr>
                <w:rFonts w:hint="eastAsia" w:ascii="仿宋_GB2312" w:hAnsi="微软雅黑" w:eastAsia="仿宋_GB2312"/>
              </w:rPr>
            </w:pPr>
          </w:p>
        </w:tc>
        <w:tc>
          <w:tcPr>
            <w:tcW w:w="851"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w:t>
            </w:r>
          </w:p>
        </w:tc>
        <w:tc>
          <w:tcPr>
            <w:tcW w:w="709"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w:t>
            </w:r>
          </w:p>
        </w:tc>
        <w:tc>
          <w:tcPr>
            <w:tcW w:w="992"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w:t>
            </w:r>
          </w:p>
        </w:tc>
        <w:tc>
          <w:tcPr>
            <w:tcW w:w="992" w:type="dxa"/>
            <w:vMerge w:val="continue"/>
            <w:vAlign w:val="center"/>
          </w:tcPr>
          <w:p>
            <w:pPr>
              <w:spacing w:before="156" w:beforeLines="50" w:line="360" w:lineRule="auto"/>
              <w:jc w:val="center"/>
              <w:rPr>
                <w:rFonts w:hint="eastAsia" w:ascii="仿宋_GB2312" w:hAnsi="微软雅黑" w:eastAsia="仿宋_GB2312"/>
              </w:rPr>
            </w:pPr>
          </w:p>
        </w:tc>
        <w:tc>
          <w:tcPr>
            <w:tcW w:w="901" w:type="dxa"/>
            <w:vMerge w:val="continue"/>
            <w:vAlign w:val="center"/>
          </w:tcPr>
          <w:p>
            <w:pPr>
              <w:spacing w:before="156" w:beforeLines="50" w:line="360" w:lineRule="auto"/>
              <w:jc w:val="center"/>
              <w:rPr>
                <w:rFonts w:hint="eastAsia" w:ascii="仿宋_GB2312" w:hAnsi="微软雅黑" w:eastAsia="仿宋_GB2312"/>
              </w:rPr>
            </w:pPr>
          </w:p>
        </w:tc>
        <w:tc>
          <w:tcPr>
            <w:tcW w:w="1089" w:type="dxa"/>
            <w:vMerge w:val="continue"/>
            <w:vAlign w:val="center"/>
          </w:tcPr>
          <w:p>
            <w:pPr>
              <w:spacing w:before="156" w:beforeLines="50" w:line="360" w:lineRule="auto"/>
              <w:jc w:val="center"/>
              <w:rPr>
                <w:rFonts w:hint="eastAsia" w:ascii="仿宋_GB2312" w:hAnsi="微软雅黑" w:eastAsia="仿宋_GB231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40" w:hRule="atLeast"/>
          <w:jc w:val="center"/>
        </w:trPr>
        <w:tc>
          <w:tcPr>
            <w:tcW w:w="709"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5</w:t>
            </w:r>
          </w:p>
        </w:tc>
        <w:tc>
          <w:tcPr>
            <w:tcW w:w="1427" w:type="dxa"/>
            <w:vAlign w:val="center"/>
          </w:tcPr>
          <w:p>
            <w:pPr>
              <w:spacing w:before="156" w:beforeLines="50"/>
              <w:jc w:val="center"/>
              <w:rPr>
                <w:rFonts w:hint="eastAsia" w:ascii="仿宋_GB2312" w:hAnsi="微软雅黑" w:eastAsia="仿宋_GB2312"/>
              </w:rPr>
            </w:pPr>
            <w:r>
              <w:rPr>
                <w:rFonts w:hint="eastAsia" w:ascii="仿宋_GB2312" w:hAnsi="微软雅黑" w:eastAsia="仿宋_GB2312"/>
              </w:rPr>
              <w:t>行政通道</w:t>
            </w:r>
          </w:p>
          <w:p>
            <w:pPr>
              <w:spacing w:before="156" w:beforeLines="50"/>
              <w:jc w:val="center"/>
              <w:rPr>
                <w:rFonts w:hint="eastAsia" w:ascii="仿宋_GB2312" w:hAnsi="微软雅黑" w:eastAsia="仿宋_GB2312"/>
              </w:rPr>
            </w:pPr>
            <w:r>
              <w:rPr>
                <w:rFonts w:hint="eastAsia" w:ascii="仿宋_GB2312" w:hAnsi="微软雅黑" w:eastAsia="仿宋_GB2312"/>
              </w:rPr>
              <w:t>（进出共用）</w:t>
            </w:r>
          </w:p>
        </w:tc>
        <w:tc>
          <w:tcPr>
            <w:tcW w:w="938" w:type="dxa"/>
            <w:vAlign w:val="center"/>
          </w:tcPr>
          <w:p>
            <w:pPr>
              <w:spacing w:before="156" w:beforeLines="50" w:line="360" w:lineRule="auto"/>
              <w:jc w:val="center"/>
              <w:rPr>
                <w:rFonts w:hint="eastAsia" w:ascii="仿宋_GB2312" w:hAnsi="微软雅黑" w:eastAsia="仿宋_GB2312"/>
              </w:rPr>
            </w:pPr>
          </w:p>
        </w:tc>
        <w:tc>
          <w:tcPr>
            <w:tcW w:w="851" w:type="dxa"/>
            <w:vAlign w:val="center"/>
          </w:tcPr>
          <w:p>
            <w:pPr>
              <w:spacing w:before="156" w:beforeLines="50" w:line="360" w:lineRule="auto"/>
              <w:jc w:val="center"/>
              <w:rPr>
                <w:rFonts w:hint="eastAsia" w:ascii="仿宋_GB2312" w:hAnsi="微软雅黑" w:eastAsia="仿宋_GB2312"/>
              </w:rPr>
            </w:pPr>
            <w:r>
              <w:rPr>
                <w:rFonts w:hint="eastAsia" w:ascii="仿宋_GB2312" w:hAnsi="微软雅黑" w:eastAsia="仿宋_GB2312"/>
              </w:rPr>
              <w:t>√</w:t>
            </w:r>
          </w:p>
        </w:tc>
        <w:tc>
          <w:tcPr>
            <w:tcW w:w="709" w:type="dxa"/>
            <w:vAlign w:val="center"/>
          </w:tcPr>
          <w:p>
            <w:pPr>
              <w:spacing w:before="156" w:beforeLines="50" w:line="360" w:lineRule="auto"/>
              <w:jc w:val="center"/>
              <w:rPr>
                <w:rFonts w:hint="eastAsia" w:ascii="仿宋_GB2312" w:hAnsi="微软雅黑" w:eastAsia="仿宋_GB2312"/>
              </w:rPr>
            </w:pPr>
          </w:p>
        </w:tc>
        <w:tc>
          <w:tcPr>
            <w:tcW w:w="992" w:type="dxa"/>
            <w:vAlign w:val="center"/>
          </w:tcPr>
          <w:p>
            <w:pPr>
              <w:spacing w:before="156" w:beforeLines="50" w:line="360" w:lineRule="auto"/>
              <w:jc w:val="center"/>
              <w:rPr>
                <w:rFonts w:hint="eastAsia" w:ascii="仿宋_GB2312" w:hAnsi="微软雅黑" w:eastAsia="仿宋_GB2312"/>
              </w:rPr>
            </w:pPr>
          </w:p>
        </w:tc>
        <w:tc>
          <w:tcPr>
            <w:tcW w:w="992" w:type="dxa"/>
            <w:vAlign w:val="center"/>
          </w:tcPr>
          <w:p>
            <w:pPr>
              <w:spacing w:before="156" w:beforeLines="50" w:line="360" w:lineRule="auto"/>
              <w:jc w:val="center"/>
              <w:rPr>
                <w:rFonts w:hint="eastAsia" w:ascii="仿宋_GB2312" w:hAnsi="微软雅黑" w:eastAsia="仿宋_GB2312"/>
              </w:rPr>
            </w:pPr>
          </w:p>
        </w:tc>
        <w:tc>
          <w:tcPr>
            <w:tcW w:w="901" w:type="dxa"/>
            <w:vAlign w:val="center"/>
          </w:tcPr>
          <w:p>
            <w:pPr>
              <w:spacing w:before="156" w:beforeLines="50" w:line="360" w:lineRule="auto"/>
              <w:jc w:val="center"/>
              <w:rPr>
                <w:rFonts w:hint="eastAsia" w:ascii="仿宋_GB2312" w:hAnsi="微软雅黑" w:eastAsia="仿宋_GB2312"/>
              </w:rPr>
            </w:pPr>
          </w:p>
        </w:tc>
        <w:tc>
          <w:tcPr>
            <w:tcW w:w="1089" w:type="dxa"/>
            <w:vAlign w:val="center"/>
          </w:tcPr>
          <w:p>
            <w:pPr>
              <w:spacing w:before="156" w:beforeLines="50" w:line="360" w:lineRule="auto"/>
              <w:jc w:val="center"/>
              <w:rPr>
                <w:rFonts w:hint="eastAsia" w:ascii="仿宋_GB2312" w:hAnsi="微软雅黑" w:eastAsia="仿宋_GB2312"/>
              </w:rPr>
            </w:pPr>
          </w:p>
        </w:tc>
      </w:tr>
    </w:tbl>
    <w:p>
      <w:pPr>
        <w:spacing w:line="276" w:lineRule="auto"/>
        <w:rPr>
          <w:rFonts w:hint="eastAsia" w:ascii="仿宋_GB2312" w:hAnsi="微软雅黑" w:eastAsia="仿宋_GB2312"/>
          <w:b/>
          <w:bCs/>
          <w:sz w:val="32"/>
          <w:szCs w:val="32"/>
        </w:rPr>
      </w:pPr>
      <w:r>
        <w:rPr>
          <w:rFonts w:hint="eastAsia" w:ascii="仿宋_GB2312" w:hAnsi="微软雅黑" w:eastAsia="仿宋_GB2312"/>
        </w:rPr>
        <w:br w:type="page"/>
      </w:r>
    </w:p>
    <w:p>
      <w:pPr>
        <w:pStyle w:val="19"/>
        <w:ind w:firstLine="643"/>
        <w:rPr>
          <w:rFonts w:hint="eastAsia" w:ascii="仿宋_GB2312" w:hAnsi="微软雅黑" w:eastAsia="仿宋_GB2312"/>
          <w:bCs/>
          <w:szCs w:val="28"/>
        </w:rPr>
      </w:pPr>
      <w:bookmarkStart w:id="105" w:name="_Toc12496"/>
      <w:r>
        <w:rPr>
          <w:rFonts w:hint="eastAsia"/>
          <w:b/>
          <w:sz w:val="32"/>
        </w:rPr>
        <w:t>业务流程</w:t>
      </w:r>
      <w:bookmarkEnd w:id="105"/>
    </w:p>
    <w:p>
      <w:pPr>
        <w:rPr>
          <w:rFonts w:hint="eastAsia" w:ascii="仿宋_GB2312" w:hAnsi="微软雅黑" w:eastAsia="仿宋_GB2312"/>
          <w:b/>
          <w:sz w:val="28"/>
          <w:szCs w:val="28"/>
        </w:rPr>
      </w:pPr>
      <w:r>
        <w:rPr>
          <w:rFonts w:hint="eastAsia" w:ascii="仿宋_GB2312" w:hAnsi="微软雅黑" w:eastAsia="仿宋_GB2312"/>
          <w:b/>
          <w:sz w:val="28"/>
          <w:szCs w:val="28"/>
        </w:rPr>
        <w:t>1)车辆进卡口通道业务流程</w:t>
      </w:r>
    </w:p>
    <w:p>
      <w:pPr>
        <w:spacing w:line="360" w:lineRule="auto"/>
        <w:ind w:firstLine="420" w:firstLineChars="200"/>
        <w:jc w:val="center"/>
        <w:rPr>
          <w:rFonts w:hint="eastAsia" w:ascii="仿宋_GB2312" w:hAnsi="微软雅黑" w:eastAsia="仿宋_GB2312"/>
        </w:rPr>
      </w:pPr>
      <w:r>
        <w:rPr>
          <w:rFonts w:hint="eastAsia" w:ascii="仿宋_GB2312" w:hAnsi="微软雅黑" w:eastAsia="仿宋_GB2312"/>
        </w:rPr>
        <w:object>
          <v:shape id="_x0000_i1030" o:spt="75" type="#_x0000_t75" style="height:494pt;width:295.4pt;" o:ole="t" filled="f" o:preferrelative="t" stroked="f" coordsize="21600,21600">
            <v:path/>
            <v:fill on="f" focussize="0,0"/>
            <v:stroke on="f"/>
            <v:imagedata r:id="rId12" o:title=""/>
            <o:lock v:ext="edit" aspectratio="t"/>
            <w10:wrap type="none"/>
            <w10:anchorlock/>
          </v:shape>
          <o:OLEObject Type="Embed" ProgID="Visio.Drawing.11" ShapeID="_x0000_i1030" DrawAspect="Content" ObjectID="_1468075725" r:id="rId11">
            <o:LockedField>false</o:LockedField>
          </o:OLEObject>
        </w:object>
      </w:r>
    </w:p>
    <w:p>
      <w:pPr>
        <w:spacing w:line="360" w:lineRule="auto"/>
        <w:ind w:firstLine="420" w:firstLineChars="200"/>
        <w:jc w:val="center"/>
        <w:rPr>
          <w:rFonts w:hint="eastAsia" w:ascii="仿宋_GB2312" w:hAnsi="微软雅黑" w:eastAsia="仿宋_GB2312"/>
          <w:b/>
        </w:rPr>
      </w:pPr>
      <w:r>
        <w:rPr>
          <w:rFonts w:hint="eastAsia" w:ascii="仿宋_GB2312" w:hAnsi="微软雅黑" w:eastAsia="仿宋_GB2312"/>
          <w:b/>
        </w:rPr>
        <w:t>货车进区卡口通道业务流程图</w:t>
      </w:r>
    </w:p>
    <w:p>
      <w:pPr>
        <w:spacing w:line="360" w:lineRule="auto"/>
        <w:ind w:firstLine="420" w:firstLineChars="200"/>
        <w:jc w:val="center"/>
        <w:rPr>
          <w:rFonts w:hint="eastAsia" w:ascii="仿宋_GB2312" w:hAnsi="微软雅黑" w:eastAsia="仿宋_GB2312"/>
          <w:b/>
        </w:rPr>
      </w:pPr>
    </w:p>
    <w:p>
      <w:pPr>
        <w:spacing w:line="360" w:lineRule="auto"/>
        <w:ind w:firstLine="420" w:firstLineChars="200"/>
        <w:jc w:val="center"/>
        <w:rPr>
          <w:rFonts w:hint="eastAsia" w:ascii="仿宋_GB2312" w:hAnsi="微软雅黑" w:eastAsia="仿宋_GB2312"/>
          <w:b/>
        </w:rPr>
      </w:pPr>
    </w:p>
    <w:p>
      <w:pPr>
        <w:spacing w:line="360" w:lineRule="auto"/>
        <w:rPr>
          <w:rFonts w:hint="eastAsia" w:ascii="仿宋_GB2312" w:hAnsi="微软雅黑" w:eastAsia="仿宋_GB2312"/>
          <w:b/>
          <w:sz w:val="28"/>
          <w:szCs w:val="28"/>
        </w:rPr>
      </w:pPr>
      <w:r>
        <w:rPr>
          <w:rFonts w:hint="eastAsia" w:ascii="仿宋_GB2312" w:hAnsi="微软雅黑" w:eastAsia="仿宋_GB2312"/>
          <w:b/>
          <w:sz w:val="28"/>
          <w:szCs w:val="28"/>
        </w:rPr>
        <w:t>流程详细说明：</w:t>
      </w:r>
    </w:p>
    <w:p>
      <w:pPr>
        <w:pStyle w:val="15"/>
        <w:widowControl/>
        <w:numPr>
          <w:ilvl w:val="0"/>
          <w:numId w:val="9"/>
        </w:numPr>
        <w:adjustRightInd w:val="0"/>
        <w:snapToGrid w:val="0"/>
        <w:spacing w:line="360" w:lineRule="auto"/>
        <w:ind w:firstLineChars="0"/>
        <w:jc w:val="left"/>
        <w:rPr>
          <w:rFonts w:hint="eastAsia" w:ascii="仿宋_GB2312" w:hAnsi="微软雅黑" w:eastAsia="仿宋_GB2312"/>
          <w:sz w:val="28"/>
          <w:szCs w:val="28"/>
        </w:rPr>
      </w:pPr>
      <w:r>
        <w:rPr>
          <w:rFonts w:hint="eastAsia" w:ascii="仿宋_GB2312" w:hAnsi="微软雅黑" w:eastAsia="仿宋_GB2312"/>
          <w:sz w:val="28"/>
          <w:szCs w:val="28"/>
        </w:rPr>
        <w:t>集装箱车辆到达海关监管区卡口；</w:t>
      </w:r>
    </w:p>
    <w:p>
      <w:pPr>
        <w:pStyle w:val="15"/>
        <w:widowControl/>
        <w:numPr>
          <w:ilvl w:val="0"/>
          <w:numId w:val="9"/>
        </w:numPr>
        <w:adjustRightInd w:val="0"/>
        <w:snapToGrid w:val="0"/>
        <w:spacing w:line="360" w:lineRule="auto"/>
        <w:ind w:firstLineChars="0"/>
        <w:jc w:val="left"/>
        <w:rPr>
          <w:rFonts w:hint="eastAsia" w:ascii="仿宋_GB2312" w:hAnsi="微软雅黑" w:eastAsia="仿宋_GB2312"/>
          <w:sz w:val="28"/>
          <w:szCs w:val="28"/>
        </w:rPr>
      </w:pPr>
      <w:r>
        <w:rPr>
          <w:rFonts w:hint="eastAsia" w:ascii="仿宋_GB2312" w:hAnsi="微软雅黑" w:eastAsia="仿宋_GB2312"/>
          <w:sz w:val="28"/>
          <w:szCs w:val="28"/>
        </w:rPr>
        <w:t>如车辆为临时车辆，需车辆司机在卡口通道通过自动发卡机领取临时IC卡；如车辆为固定车辆，车辆直接驶入通道；</w:t>
      </w:r>
    </w:p>
    <w:p>
      <w:pPr>
        <w:pStyle w:val="15"/>
        <w:widowControl/>
        <w:numPr>
          <w:ilvl w:val="0"/>
          <w:numId w:val="9"/>
        </w:numPr>
        <w:adjustRightInd w:val="0"/>
        <w:snapToGrid w:val="0"/>
        <w:spacing w:line="360" w:lineRule="auto"/>
        <w:ind w:firstLineChars="0"/>
        <w:jc w:val="left"/>
        <w:rPr>
          <w:rFonts w:hint="eastAsia" w:ascii="仿宋_GB2312" w:hAnsi="微软雅黑" w:eastAsia="仿宋_GB2312"/>
          <w:sz w:val="28"/>
          <w:szCs w:val="28"/>
        </w:rPr>
      </w:pPr>
      <w:r>
        <w:rPr>
          <w:rFonts w:hint="eastAsia" w:ascii="仿宋_GB2312" w:hAnsi="微软雅黑" w:eastAsia="仿宋_GB2312"/>
          <w:sz w:val="28"/>
          <w:szCs w:val="28"/>
        </w:rPr>
        <w:t>卡口前端采集系统检测到车辆进入通道后，启动采集时序，自动采集电子车牌号码或IC卡号、车重等相关数据；</w:t>
      </w:r>
    </w:p>
    <w:p>
      <w:pPr>
        <w:pStyle w:val="15"/>
        <w:widowControl/>
        <w:numPr>
          <w:ilvl w:val="0"/>
          <w:numId w:val="9"/>
        </w:numPr>
        <w:adjustRightInd w:val="0"/>
        <w:snapToGrid w:val="0"/>
        <w:spacing w:line="360" w:lineRule="auto"/>
        <w:ind w:firstLineChars="0"/>
        <w:jc w:val="left"/>
        <w:rPr>
          <w:rFonts w:hint="eastAsia" w:ascii="仿宋_GB2312" w:hAnsi="微软雅黑" w:eastAsia="仿宋_GB2312"/>
          <w:sz w:val="28"/>
          <w:szCs w:val="28"/>
        </w:rPr>
      </w:pPr>
      <w:r>
        <w:rPr>
          <w:rFonts w:hint="eastAsia" w:ascii="仿宋_GB2312" w:hAnsi="微软雅黑" w:eastAsia="仿宋_GB2312"/>
          <w:sz w:val="28"/>
          <w:szCs w:val="28"/>
        </w:rPr>
        <w:t>前端采集系统将采集的车辆数据发送至集中监控中心，并由集中监控中心转发至海关物流监控平台；</w:t>
      </w:r>
    </w:p>
    <w:p>
      <w:pPr>
        <w:pStyle w:val="15"/>
        <w:widowControl/>
        <w:numPr>
          <w:ilvl w:val="0"/>
          <w:numId w:val="9"/>
        </w:numPr>
        <w:adjustRightInd w:val="0"/>
        <w:snapToGrid w:val="0"/>
        <w:spacing w:line="360" w:lineRule="auto"/>
        <w:ind w:firstLineChars="0"/>
        <w:jc w:val="left"/>
        <w:rPr>
          <w:rFonts w:hint="eastAsia" w:ascii="仿宋_GB2312" w:hAnsi="微软雅黑" w:eastAsia="仿宋_GB2312"/>
          <w:sz w:val="28"/>
          <w:szCs w:val="28"/>
        </w:rPr>
      </w:pPr>
      <w:r>
        <w:rPr>
          <w:rFonts w:hint="eastAsia" w:ascii="仿宋_GB2312" w:hAnsi="微软雅黑" w:eastAsia="仿宋_GB2312"/>
          <w:sz w:val="28"/>
          <w:szCs w:val="28"/>
        </w:rPr>
        <w:t>海关物流监控平台接收到智能卡口系统发送的采集数据后，对数据进行分析、比对。完成后下发禁/放行指令至集中监控中心，并由集中监控中心转发至相应的前端采集系统；</w:t>
      </w:r>
    </w:p>
    <w:p>
      <w:pPr>
        <w:pStyle w:val="15"/>
        <w:widowControl/>
        <w:numPr>
          <w:ilvl w:val="0"/>
          <w:numId w:val="9"/>
        </w:numPr>
        <w:adjustRightInd w:val="0"/>
        <w:snapToGrid w:val="0"/>
        <w:spacing w:line="360" w:lineRule="auto"/>
        <w:ind w:firstLineChars="0"/>
        <w:jc w:val="left"/>
        <w:rPr>
          <w:rFonts w:hint="eastAsia" w:ascii="仿宋_GB2312" w:hAnsi="微软雅黑" w:eastAsia="仿宋_GB2312"/>
          <w:sz w:val="28"/>
          <w:szCs w:val="28"/>
        </w:rPr>
      </w:pPr>
      <w:r>
        <w:rPr>
          <w:rFonts w:hint="eastAsia" w:ascii="仿宋_GB2312" w:hAnsi="微软雅黑" w:eastAsia="仿宋_GB2312"/>
          <w:sz w:val="28"/>
          <w:szCs w:val="28"/>
        </w:rPr>
        <w:t>前端采集系统对指令内容进行解析，并根据指令内容进行相应的处理。</w:t>
      </w:r>
    </w:p>
    <w:p>
      <w:pPr>
        <w:pStyle w:val="15"/>
        <w:widowControl/>
        <w:numPr>
          <w:ilvl w:val="1"/>
          <w:numId w:val="10"/>
        </w:numPr>
        <w:adjustRightInd w:val="0"/>
        <w:snapToGrid w:val="0"/>
        <w:spacing w:line="360" w:lineRule="auto"/>
        <w:ind w:firstLineChars="0"/>
        <w:jc w:val="left"/>
        <w:rPr>
          <w:rFonts w:hint="eastAsia" w:ascii="仿宋_GB2312" w:hAnsi="微软雅黑" w:eastAsia="仿宋_GB2312"/>
          <w:sz w:val="28"/>
          <w:szCs w:val="28"/>
        </w:rPr>
      </w:pPr>
      <w:r>
        <w:rPr>
          <w:rFonts w:hint="eastAsia" w:ascii="仿宋_GB2312" w:hAnsi="微软雅黑" w:eastAsia="仿宋_GB2312"/>
          <w:sz w:val="28"/>
          <w:szCs w:val="28"/>
        </w:rPr>
        <w:t>如接收的是正常放行指令，卡口系统控制电子挡杆抬杆，在车辆驶出集装箱进通道后控制电子挡杆落杆。</w:t>
      </w:r>
    </w:p>
    <w:p>
      <w:pPr>
        <w:pStyle w:val="15"/>
        <w:widowControl/>
        <w:numPr>
          <w:ilvl w:val="1"/>
          <w:numId w:val="10"/>
        </w:numPr>
        <w:adjustRightInd w:val="0"/>
        <w:snapToGrid w:val="0"/>
        <w:spacing w:line="360" w:lineRule="auto"/>
        <w:ind w:firstLineChars="0"/>
        <w:jc w:val="left"/>
        <w:rPr>
          <w:rFonts w:hint="eastAsia" w:ascii="仿宋_GB2312" w:hAnsi="微软雅黑" w:eastAsia="仿宋_GB2312"/>
          <w:sz w:val="28"/>
          <w:szCs w:val="28"/>
        </w:rPr>
      </w:pPr>
      <w:r>
        <w:rPr>
          <w:rFonts w:hint="eastAsia" w:ascii="仿宋_GB2312" w:hAnsi="微软雅黑" w:eastAsia="仿宋_GB2312"/>
          <w:sz w:val="28"/>
          <w:szCs w:val="28"/>
        </w:rPr>
        <w:t>如接收的是查验指令，前端采集系统控制电子挡杆抬杆，并提醒司机至相应的查验区进行人工查验，查验完毕后由人工核销相关记录。</w:t>
      </w:r>
    </w:p>
    <w:p>
      <w:pPr>
        <w:spacing w:line="276" w:lineRule="auto"/>
        <w:rPr>
          <w:rFonts w:hint="eastAsia" w:ascii="仿宋_GB2312" w:hAnsi="微软雅黑" w:eastAsia="仿宋_GB2312"/>
          <w:sz w:val="28"/>
          <w:szCs w:val="28"/>
        </w:rPr>
      </w:pPr>
      <w:r>
        <w:rPr>
          <w:rFonts w:hint="eastAsia" w:ascii="仿宋_GB2312" w:hAnsi="微软雅黑" w:eastAsia="仿宋_GB2312"/>
          <w:sz w:val="28"/>
          <w:szCs w:val="28"/>
        </w:rPr>
        <w:br w:type="page"/>
      </w:r>
    </w:p>
    <w:p>
      <w:pPr>
        <w:rPr>
          <w:rFonts w:hint="eastAsia" w:ascii="仿宋_GB2312" w:hAnsi="微软雅黑" w:eastAsia="仿宋_GB2312"/>
          <w:b/>
          <w:sz w:val="28"/>
          <w:szCs w:val="28"/>
        </w:rPr>
      </w:pPr>
      <w:r>
        <w:rPr>
          <w:rFonts w:hint="eastAsia" w:ascii="仿宋_GB2312" w:hAnsi="微软雅黑" w:eastAsia="仿宋_GB2312"/>
          <w:b/>
          <w:sz w:val="28"/>
          <w:szCs w:val="28"/>
        </w:rPr>
        <w:t>2)货车出卡口通道业务流程</w:t>
      </w:r>
    </w:p>
    <w:p>
      <w:pPr>
        <w:spacing w:line="360" w:lineRule="auto"/>
        <w:ind w:firstLine="420" w:firstLineChars="200"/>
        <w:jc w:val="center"/>
        <w:rPr>
          <w:rFonts w:hint="eastAsia" w:ascii="仿宋_GB2312" w:hAnsi="微软雅黑" w:eastAsia="仿宋_GB2312"/>
        </w:rPr>
      </w:pPr>
      <w:r>
        <w:rPr>
          <w:rFonts w:hint="eastAsia" w:ascii="仿宋_GB2312" w:hAnsi="微软雅黑" w:eastAsia="仿宋_GB2312"/>
        </w:rPr>
        <w:object>
          <v:shape id="_x0000_i1031" o:spt="75" type="#_x0000_t75" style="height:489.7pt;width:285.15pt;" o:ole="t" filled="f" o:preferrelative="t" stroked="f" coordsize="21600,21600">
            <v:path/>
            <v:fill on="f" focussize="0,0"/>
            <v:stroke on="f"/>
            <v:imagedata r:id="rId14" o:title=""/>
            <o:lock v:ext="edit" aspectratio="t"/>
            <w10:wrap type="none"/>
            <w10:anchorlock/>
          </v:shape>
          <o:OLEObject Type="Embed" ProgID="Visio.Drawing.11" ShapeID="_x0000_i1031" DrawAspect="Content" ObjectID="_1468075726" r:id="rId13">
            <o:LockedField>false</o:LockedField>
          </o:OLEObject>
        </w:object>
      </w:r>
    </w:p>
    <w:p>
      <w:pPr>
        <w:spacing w:line="360" w:lineRule="auto"/>
        <w:ind w:firstLine="420" w:firstLineChars="200"/>
        <w:jc w:val="center"/>
        <w:rPr>
          <w:rFonts w:hint="eastAsia" w:ascii="仿宋_GB2312" w:hAnsi="微软雅黑" w:eastAsia="仿宋_GB2312"/>
          <w:b/>
        </w:rPr>
      </w:pPr>
      <w:r>
        <w:rPr>
          <w:rFonts w:hint="eastAsia" w:ascii="仿宋_GB2312" w:hAnsi="微软雅黑" w:eastAsia="仿宋_GB2312"/>
          <w:b/>
        </w:rPr>
        <w:t>货车出区卡口通道业务流程图</w:t>
      </w:r>
    </w:p>
    <w:p>
      <w:pPr>
        <w:spacing w:line="360" w:lineRule="auto"/>
        <w:ind w:firstLine="420" w:firstLineChars="200"/>
        <w:jc w:val="center"/>
        <w:rPr>
          <w:rFonts w:hint="eastAsia" w:ascii="仿宋_GB2312" w:hAnsi="微软雅黑" w:eastAsia="仿宋_GB2312"/>
          <w:b/>
        </w:rPr>
      </w:pPr>
    </w:p>
    <w:p>
      <w:pPr>
        <w:spacing w:line="360" w:lineRule="auto"/>
        <w:ind w:firstLine="420" w:firstLineChars="200"/>
        <w:jc w:val="center"/>
        <w:rPr>
          <w:rFonts w:hint="eastAsia" w:ascii="仿宋_GB2312" w:hAnsi="微软雅黑" w:eastAsia="仿宋_GB2312"/>
          <w:b/>
        </w:rPr>
      </w:pPr>
    </w:p>
    <w:p>
      <w:pPr>
        <w:spacing w:line="360" w:lineRule="auto"/>
        <w:ind w:firstLine="420" w:firstLineChars="200"/>
        <w:jc w:val="center"/>
        <w:rPr>
          <w:rFonts w:hint="eastAsia" w:ascii="仿宋_GB2312" w:hAnsi="微软雅黑" w:eastAsia="仿宋_GB2312"/>
          <w:b/>
        </w:rPr>
      </w:pPr>
    </w:p>
    <w:p>
      <w:pPr>
        <w:spacing w:line="360" w:lineRule="auto"/>
        <w:ind w:firstLine="420" w:firstLineChars="200"/>
        <w:jc w:val="center"/>
        <w:rPr>
          <w:rFonts w:hint="eastAsia" w:ascii="仿宋_GB2312" w:hAnsi="微软雅黑" w:eastAsia="仿宋_GB2312"/>
          <w:b/>
        </w:rPr>
      </w:pPr>
    </w:p>
    <w:p>
      <w:pPr>
        <w:spacing w:line="360" w:lineRule="auto"/>
        <w:rPr>
          <w:rFonts w:hint="eastAsia" w:ascii="仿宋_GB2312" w:hAnsi="微软雅黑" w:eastAsia="仿宋_GB2312"/>
          <w:b/>
          <w:sz w:val="28"/>
          <w:szCs w:val="28"/>
        </w:rPr>
      </w:pPr>
      <w:r>
        <w:rPr>
          <w:rFonts w:hint="eastAsia" w:ascii="仿宋_GB2312" w:hAnsi="微软雅黑" w:eastAsia="仿宋_GB2312"/>
          <w:b/>
          <w:sz w:val="28"/>
          <w:szCs w:val="28"/>
        </w:rPr>
        <w:t>流程详细说明：</w:t>
      </w:r>
    </w:p>
    <w:p>
      <w:pPr>
        <w:pStyle w:val="15"/>
        <w:widowControl/>
        <w:numPr>
          <w:ilvl w:val="0"/>
          <w:numId w:val="11"/>
        </w:numPr>
        <w:adjustRightInd w:val="0"/>
        <w:snapToGrid w:val="0"/>
        <w:spacing w:line="360" w:lineRule="auto"/>
        <w:ind w:firstLineChars="0"/>
        <w:jc w:val="left"/>
        <w:rPr>
          <w:rFonts w:hint="eastAsia" w:ascii="仿宋_GB2312" w:hAnsi="微软雅黑" w:eastAsia="仿宋_GB2312"/>
          <w:sz w:val="28"/>
          <w:szCs w:val="28"/>
        </w:rPr>
      </w:pPr>
      <w:r>
        <w:rPr>
          <w:rFonts w:hint="eastAsia" w:ascii="仿宋_GB2312" w:hAnsi="微软雅黑" w:eastAsia="仿宋_GB2312"/>
          <w:sz w:val="28"/>
          <w:szCs w:val="28"/>
        </w:rPr>
        <w:t>货运车辆进入监管区智能卡口出区通道；</w:t>
      </w:r>
    </w:p>
    <w:p>
      <w:pPr>
        <w:pStyle w:val="15"/>
        <w:widowControl/>
        <w:numPr>
          <w:ilvl w:val="0"/>
          <w:numId w:val="11"/>
        </w:numPr>
        <w:adjustRightInd w:val="0"/>
        <w:snapToGrid w:val="0"/>
        <w:spacing w:line="360" w:lineRule="auto"/>
        <w:ind w:firstLineChars="0"/>
        <w:jc w:val="left"/>
        <w:rPr>
          <w:rFonts w:hint="eastAsia" w:ascii="仿宋_GB2312" w:hAnsi="微软雅黑" w:eastAsia="仿宋_GB2312"/>
          <w:sz w:val="28"/>
          <w:szCs w:val="28"/>
        </w:rPr>
      </w:pPr>
      <w:r>
        <w:rPr>
          <w:rFonts w:hint="eastAsia" w:ascii="仿宋_GB2312" w:hAnsi="微软雅黑" w:eastAsia="仿宋_GB2312"/>
          <w:sz w:val="28"/>
          <w:szCs w:val="28"/>
        </w:rPr>
        <w:t>卡口前端采集系统检测到车辆进入通道后，启动采集时序，自动采集电子车牌号或IC卡号、车重等相关数据；</w:t>
      </w:r>
    </w:p>
    <w:p>
      <w:pPr>
        <w:pStyle w:val="15"/>
        <w:widowControl/>
        <w:numPr>
          <w:ilvl w:val="0"/>
          <w:numId w:val="11"/>
        </w:numPr>
        <w:adjustRightInd w:val="0"/>
        <w:snapToGrid w:val="0"/>
        <w:spacing w:line="360" w:lineRule="auto"/>
        <w:ind w:firstLineChars="0"/>
        <w:jc w:val="left"/>
        <w:rPr>
          <w:rFonts w:hint="eastAsia" w:ascii="仿宋_GB2312" w:hAnsi="微软雅黑" w:eastAsia="仿宋_GB2312"/>
          <w:sz w:val="28"/>
          <w:szCs w:val="28"/>
        </w:rPr>
      </w:pPr>
      <w:r>
        <w:rPr>
          <w:rFonts w:hint="eastAsia" w:ascii="仿宋_GB2312" w:hAnsi="微软雅黑" w:eastAsia="仿宋_GB2312"/>
          <w:sz w:val="28"/>
          <w:szCs w:val="28"/>
        </w:rPr>
        <w:t>前端采集系统将采集的车辆数据发送至集中监控中心，并由集中监控中心转发至海关物流监控平台；</w:t>
      </w:r>
    </w:p>
    <w:p>
      <w:pPr>
        <w:pStyle w:val="15"/>
        <w:widowControl/>
        <w:numPr>
          <w:ilvl w:val="0"/>
          <w:numId w:val="11"/>
        </w:numPr>
        <w:adjustRightInd w:val="0"/>
        <w:snapToGrid w:val="0"/>
        <w:spacing w:line="360" w:lineRule="auto"/>
        <w:ind w:firstLineChars="0"/>
        <w:jc w:val="left"/>
        <w:rPr>
          <w:rFonts w:hint="eastAsia" w:ascii="仿宋_GB2312" w:hAnsi="微软雅黑" w:eastAsia="仿宋_GB2312"/>
          <w:sz w:val="28"/>
          <w:szCs w:val="28"/>
        </w:rPr>
      </w:pPr>
      <w:r>
        <w:rPr>
          <w:rFonts w:hint="eastAsia" w:ascii="仿宋_GB2312" w:hAnsi="微软雅黑" w:eastAsia="仿宋_GB2312"/>
          <w:sz w:val="28"/>
          <w:szCs w:val="28"/>
        </w:rPr>
        <w:t>海关物流监控平台接收到智能卡口系统发送的采集数据后，对数据进行分析、比对。完成后下发禁/放行指令至集中监控中心，并由集中监控中心转发至相应的前端采集系统；</w:t>
      </w:r>
    </w:p>
    <w:p>
      <w:pPr>
        <w:pStyle w:val="15"/>
        <w:widowControl/>
        <w:numPr>
          <w:ilvl w:val="0"/>
          <w:numId w:val="11"/>
        </w:numPr>
        <w:adjustRightInd w:val="0"/>
        <w:snapToGrid w:val="0"/>
        <w:spacing w:line="360" w:lineRule="auto"/>
        <w:ind w:firstLineChars="0"/>
        <w:jc w:val="left"/>
        <w:rPr>
          <w:rFonts w:hint="eastAsia" w:ascii="仿宋_GB2312" w:hAnsi="微软雅黑" w:eastAsia="仿宋_GB2312"/>
          <w:sz w:val="28"/>
          <w:szCs w:val="28"/>
        </w:rPr>
      </w:pPr>
      <w:r>
        <w:rPr>
          <w:rFonts w:hint="eastAsia" w:ascii="仿宋_GB2312" w:hAnsi="微软雅黑" w:eastAsia="仿宋_GB2312"/>
          <w:sz w:val="28"/>
          <w:szCs w:val="28"/>
        </w:rPr>
        <w:t>卡口系统对指令内容进行解析，并根据指令内容进行相应的处理。</w:t>
      </w:r>
    </w:p>
    <w:p>
      <w:pPr>
        <w:numPr>
          <w:ilvl w:val="0"/>
          <w:numId w:val="12"/>
        </w:numPr>
        <w:spacing w:line="360" w:lineRule="auto"/>
        <w:rPr>
          <w:rFonts w:hint="eastAsia" w:ascii="仿宋_GB2312" w:hAnsi="微软雅黑" w:eastAsia="仿宋_GB2312"/>
          <w:sz w:val="28"/>
          <w:szCs w:val="28"/>
        </w:rPr>
      </w:pPr>
      <w:r>
        <w:rPr>
          <w:rFonts w:hint="eastAsia" w:ascii="仿宋_GB2312" w:hAnsi="微软雅黑" w:eastAsia="仿宋_GB2312"/>
          <w:sz w:val="28"/>
          <w:szCs w:val="28"/>
        </w:rPr>
        <w:t xml:space="preserve"> 如接收的是正常放行指令，系统控制电子挡杆抬杆，在车辆驶出集装箱出通道后控制电子挡杆落杆。</w:t>
      </w:r>
    </w:p>
    <w:p>
      <w:pPr>
        <w:numPr>
          <w:ilvl w:val="0"/>
          <w:numId w:val="12"/>
        </w:numPr>
        <w:spacing w:line="360" w:lineRule="auto"/>
        <w:rPr>
          <w:rFonts w:hint="eastAsia" w:ascii="仿宋_GB2312" w:hAnsi="微软雅黑" w:eastAsia="仿宋_GB2312"/>
          <w:sz w:val="28"/>
          <w:szCs w:val="28"/>
        </w:rPr>
      </w:pPr>
      <w:r>
        <w:rPr>
          <w:rFonts w:hint="eastAsia" w:ascii="仿宋_GB2312" w:hAnsi="微软雅黑" w:eastAsia="仿宋_GB2312"/>
          <w:sz w:val="28"/>
          <w:szCs w:val="28"/>
        </w:rPr>
        <w:t xml:space="preserve"> 如接收的是查验指令，前端采集系统控制电子挡杆抬杆，并提醒司机至相应的查验区进行人工查验，查验完毕后由人工核销相关记录。</w:t>
      </w:r>
    </w:p>
    <w:p>
      <w:pPr>
        <w:rPr>
          <w:rFonts w:hint="eastAsia" w:ascii="仿宋_GB2312" w:hAnsi="微软雅黑" w:eastAsia="仿宋_GB2312"/>
          <w:sz w:val="28"/>
          <w:szCs w:val="28"/>
        </w:rPr>
      </w:pPr>
      <w:r>
        <w:rPr>
          <w:rFonts w:hint="eastAsia" w:ascii="仿宋_GB2312" w:hAnsi="微软雅黑" w:eastAsia="仿宋_GB2312"/>
          <w:sz w:val="28"/>
          <w:szCs w:val="28"/>
        </w:rPr>
        <w:br w:type="page"/>
      </w:r>
    </w:p>
    <w:p>
      <w:pPr>
        <w:pStyle w:val="10"/>
        <w:rPr>
          <w:rFonts w:hint="eastAsia" w:ascii="仿宋_GB2312" w:hAnsi="微软雅黑" w:eastAsia="仿宋_GB2312"/>
        </w:rPr>
      </w:pPr>
      <w:bookmarkStart w:id="106" w:name="_Toc12523"/>
      <w:r>
        <w:rPr>
          <w:rFonts w:hint="eastAsia" w:ascii="仿宋_GB2312" w:hAnsi="微软雅黑" w:eastAsia="仿宋_GB2312"/>
          <w:sz w:val="28"/>
          <w:szCs w:val="28"/>
        </w:rPr>
        <w:t>电子地磅</w:t>
      </w:r>
      <w:bookmarkEnd w:id="106"/>
    </w:p>
    <w:p>
      <w:pPr>
        <w:rPr>
          <w:rFonts w:hint="eastAsia" w:ascii="仿宋_GB2312" w:hAnsi="微软雅黑" w:eastAsia="仿宋_GB2312"/>
          <w:b/>
          <w:sz w:val="32"/>
        </w:rPr>
      </w:pPr>
      <w:bookmarkStart w:id="107" w:name="_Toc14200"/>
      <w:r>
        <w:rPr>
          <w:rFonts w:hint="eastAsia" w:ascii="仿宋_GB2312" w:hAnsi="微软雅黑" w:eastAsia="仿宋_GB2312"/>
          <w:b/>
          <w:sz w:val="32"/>
        </w:rPr>
        <w:t>概述</w:t>
      </w:r>
      <w:bookmarkEnd w:id="107"/>
    </w:p>
    <w:p>
      <w:pPr>
        <w:rPr>
          <w:rFonts w:hint="eastAsia" w:ascii="仿宋_GB2312" w:hAnsi="微软雅黑" w:eastAsia="仿宋_GB2312"/>
          <w:sz w:val="28"/>
          <w:szCs w:val="28"/>
        </w:rPr>
      </w:pPr>
      <w:r>
        <w:rPr>
          <w:rFonts w:hint="eastAsia" w:ascii="仿宋_GB2312" w:hAnsi="微软雅黑" w:eastAsia="仿宋_GB2312"/>
          <w:sz w:val="22"/>
        </w:rPr>
        <w:tab/>
      </w:r>
      <w:r>
        <w:rPr>
          <w:rFonts w:hint="eastAsia" w:ascii="仿宋_GB2312" w:hAnsi="微软雅黑" w:eastAsia="仿宋_GB2312"/>
          <w:sz w:val="28"/>
          <w:szCs w:val="28"/>
        </w:rPr>
        <w:t>电子汽车衡系统选用稳定可靠的高精度不锈钢柱式称重传感器和智能化称重显示仪表。柱式称重传感器有较好的偏载、温度漂移、蠕变、非线性等特性，采用激光焊接的不锈钢外壳全密封结构使之不受潮湿空气和腐蚀性气体的侵蚀，从而提高了传感器的使用寿命和可靠性。仪表具有高灵敏度、高分辨率，软件功能丰富，工作稳定可靠的特点。称重数据经仪表标准接口可供打印机打印记录，也可与计算机连接，组成称重管理系统。</w:t>
      </w:r>
    </w:p>
    <w:p>
      <w:pPr>
        <w:ind w:firstLine="420"/>
        <w:rPr>
          <w:rFonts w:hint="eastAsia" w:ascii="仿宋_GB2312" w:hAnsi="微软雅黑" w:eastAsia="仿宋_GB2312"/>
          <w:sz w:val="28"/>
          <w:szCs w:val="28"/>
        </w:rPr>
      </w:pPr>
      <w:r>
        <w:rPr>
          <w:rFonts w:hint="eastAsia" w:ascii="仿宋_GB2312" w:hAnsi="微软雅黑" w:eastAsia="仿宋_GB2312"/>
          <w:sz w:val="28"/>
          <w:szCs w:val="28"/>
        </w:rPr>
        <w:t>秤台结构采用U形截面的冷弯型钢组焊，整体刚度、抗扭性能及台面的局部刚度都有很大的改进；模块化设计,可按用户要求组合,适于大批量生产,运输方便,安装调试简单,周期短;系统质量可靠和长期稳定性好。电子汽车衡广泛应用于各种工业及贸易场合,如冶金,矿山,机械,化工,港口及公路货站等,是各类载重汽车理想的称重计量设备。</w:t>
      </w:r>
    </w:p>
    <w:p>
      <w:pPr>
        <w:rPr>
          <w:rFonts w:hint="eastAsia" w:ascii="仿宋_GB2312" w:hAnsi="微软雅黑" w:eastAsia="仿宋_GB2312"/>
        </w:rPr>
      </w:pPr>
      <w:bookmarkStart w:id="108" w:name="_Toc32670"/>
      <w:r>
        <w:rPr>
          <w:rFonts w:hint="eastAsia" w:ascii="仿宋_GB2312" w:hAnsi="微软雅黑" w:eastAsia="仿宋_GB2312"/>
          <w:b/>
          <w:sz w:val="32"/>
        </w:rPr>
        <w:t>技术指标</w:t>
      </w:r>
      <w:bookmarkEnd w:id="108"/>
    </w:p>
    <w:p>
      <w:pPr>
        <w:rPr>
          <w:rFonts w:hint="eastAsia" w:ascii="仿宋_GB2312" w:hAnsi="微软雅黑" w:eastAsia="仿宋_GB2312"/>
          <w:sz w:val="28"/>
          <w:szCs w:val="28"/>
        </w:rPr>
      </w:pPr>
      <w:r>
        <w:rPr>
          <w:rFonts w:hint="eastAsia" w:ascii="仿宋_GB2312" w:hAnsi="微软雅黑" w:eastAsia="仿宋_GB2312"/>
          <w:sz w:val="28"/>
          <w:szCs w:val="28"/>
        </w:rPr>
        <w:t>1）综合指标</w:t>
      </w:r>
    </w:p>
    <w:p>
      <w:pPr>
        <w:rPr>
          <w:rFonts w:hint="eastAsia" w:ascii="仿宋_GB2312" w:hAnsi="微软雅黑" w:eastAsia="仿宋_GB2312"/>
          <w:sz w:val="28"/>
          <w:szCs w:val="28"/>
        </w:rPr>
      </w:pPr>
      <w:r>
        <w:rPr>
          <w:rFonts w:hint="eastAsia" w:ascii="仿宋_GB2312" w:hAnsi="微软雅黑" w:eastAsia="仿宋_GB2312"/>
          <w:sz w:val="28"/>
          <w:szCs w:val="28"/>
        </w:rPr>
        <w:tab/>
      </w:r>
      <w:r>
        <w:rPr>
          <w:rFonts w:hint="eastAsia" w:ascii="仿宋_GB2312" w:hAnsi="微软雅黑" w:eastAsia="仿宋_GB2312"/>
          <w:sz w:val="28"/>
          <w:szCs w:val="28"/>
        </w:rPr>
        <w:t>额定称量:</w:t>
      </w:r>
      <w:r>
        <w:rPr>
          <w:rFonts w:hint="eastAsia" w:ascii="仿宋_GB2312" w:hAnsi="微软雅黑" w:eastAsia="仿宋_GB2312"/>
          <w:sz w:val="28"/>
          <w:szCs w:val="28"/>
        </w:rPr>
        <w:tab/>
      </w:r>
      <w:r>
        <w:rPr>
          <w:rFonts w:hint="eastAsia" w:ascii="仿宋_GB2312" w:hAnsi="微软雅黑" w:eastAsia="仿宋_GB2312"/>
          <w:sz w:val="28"/>
          <w:szCs w:val="28"/>
        </w:rPr>
        <w:t>80吨</w:t>
      </w:r>
    </w:p>
    <w:p>
      <w:pPr>
        <w:rPr>
          <w:rFonts w:hint="eastAsia" w:ascii="仿宋_GB2312" w:hAnsi="微软雅黑" w:eastAsia="仿宋_GB2312"/>
          <w:sz w:val="28"/>
          <w:szCs w:val="28"/>
        </w:rPr>
      </w:pPr>
      <w:r>
        <w:rPr>
          <w:rFonts w:hint="eastAsia" w:ascii="仿宋_GB2312" w:hAnsi="微软雅黑" w:eastAsia="仿宋_GB2312"/>
          <w:sz w:val="28"/>
          <w:szCs w:val="28"/>
        </w:rPr>
        <w:tab/>
      </w:r>
      <w:r>
        <w:rPr>
          <w:rFonts w:hint="eastAsia" w:ascii="仿宋_GB2312" w:hAnsi="微软雅黑" w:eastAsia="仿宋_GB2312"/>
          <w:sz w:val="28"/>
          <w:szCs w:val="28"/>
        </w:rPr>
        <w:t>最大安全过载:</w:t>
      </w:r>
      <w:r>
        <w:rPr>
          <w:rFonts w:hint="eastAsia" w:ascii="仿宋_GB2312" w:hAnsi="微软雅黑" w:eastAsia="仿宋_GB2312"/>
          <w:sz w:val="28"/>
          <w:szCs w:val="28"/>
        </w:rPr>
        <w:tab/>
      </w:r>
      <w:r>
        <w:rPr>
          <w:rFonts w:hint="eastAsia" w:ascii="仿宋_GB2312" w:hAnsi="微软雅黑" w:eastAsia="仿宋_GB2312"/>
          <w:sz w:val="28"/>
          <w:szCs w:val="28"/>
        </w:rPr>
        <w:t>125%FS</w:t>
      </w:r>
    </w:p>
    <w:p>
      <w:pPr>
        <w:rPr>
          <w:rFonts w:hint="eastAsia" w:ascii="仿宋_GB2312" w:hAnsi="微软雅黑" w:eastAsia="仿宋_GB2312"/>
          <w:sz w:val="28"/>
          <w:szCs w:val="28"/>
        </w:rPr>
      </w:pPr>
      <w:r>
        <w:rPr>
          <w:rFonts w:hint="eastAsia" w:ascii="仿宋_GB2312" w:hAnsi="微软雅黑" w:eastAsia="仿宋_GB2312"/>
          <w:sz w:val="28"/>
          <w:szCs w:val="28"/>
        </w:rPr>
        <w:tab/>
      </w:r>
      <w:r>
        <w:rPr>
          <w:rFonts w:hint="eastAsia" w:ascii="仿宋_GB2312" w:hAnsi="微软雅黑" w:eastAsia="仿宋_GB2312"/>
          <w:sz w:val="28"/>
          <w:szCs w:val="28"/>
        </w:rPr>
        <w:t>允许通过的汽车轴载:</w:t>
      </w:r>
      <w:r>
        <w:rPr>
          <w:rFonts w:hint="eastAsia" w:ascii="仿宋_GB2312" w:hAnsi="微软雅黑" w:eastAsia="仿宋_GB2312"/>
          <w:sz w:val="28"/>
          <w:szCs w:val="28"/>
        </w:rPr>
        <w:tab/>
      </w:r>
      <w:r>
        <w:rPr>
          <w:rFonts w:hint="eastAsia" w:ascii="仿宋_GB2312" w:hAnsi="微软雅黑" w:eastAsia="仿宋_GB2312"/>
          <w:sz w:val="28"/>
          <w:szCs w:val="28"/>
        </w:rPr>
        <w:t>~40吨</w:t>
      </w:r>
    </w:p>
    <w:p>
      <w:pPr>
        <w:rPr>
          <w:rFonts w:hint="eastAsia" w:ascii="仿宋_GB2312" w:hAnsi="微软雅黑" w:eastAsia="仿宋_GB2312"/>
          <w:sz w:val="28"/>
          <w:szCs w:val="28"/>
        </w:rPr>
      </w:pPr>
      <w:r>
        <w:rPr>
          <w:rFonts w:hint="eastAsia" w:ascii="仿宋_GB2312" w:hAnsi="微软雅黑" w:eastAsia="仿宋_GB2312"/>
          <w:sz w:val="28"/>
          <w:szCs w:val="28"/>
        </w:rPr>
        <w:tab/>
      </w:r>
      <w:r>
        <w:rPr>
          <w:rFonts w:hint="eastAsia" w:ascii="仿宋_GB2312" w:hAnsi="微软雅黑" w:eastAsia="仿宋_GB2312"/>
          <w:sz w:val="28"/>
          <w:szCs w:val="28"/>
        </w:rPr>
        <w:t>检定分度值:</w:t>
      </w:r>
      <w:r>
        <w:rPr>
          <w:rFonts w:hint="eastAsia" w:ascii="仿宋_GB2312" w:hAnsi="微软雅黑" w:eastAsia="仿宋_GB2312"/>
          <w:sz w:val="28"/>
          <w:szCs w:val="28"/>
        </w:rPr>
        <w:tab/>
      </w:r>
      <w:r>
        <w:rPr>
          <w:rFonts w:hint="eastAsia" w:ascii="仿宋_GB2312" w:hAnsi="微软雅黑" w:eastAsia="仿宋_GB2312"/>
          <w:sz w:val="28"/>
          <w:szCs w:val="28"/>
        </w:rPr>
        <w:t>20千克</w:t>
      </w:r>
    </w:p>
    <w:p>
      <w:pPr>
        <w:rPr>
          <w:rFonts w:hint="eastAsia" w:ascii="仿宋_GB2312" w:hAnsi="微软雅黑" w:eastAsia="仿宋_GB2312"/>
          <w:sz w:val="28"/>
          <w:szCs w:val="28"/>
        </w:rPr>
      </w:pPr>
      <w:r>
        <w:rPr>
          <w:rFonts w:hint="eastAsia" w:ascii="仿宋_GB2312" w:hAnsi="微软雅黑" w:eastAsia="仿宋_GB2312"/>
          <w:sz w:val="28"/>
          <w:szCs w:val="28"/>
        </w:rPr>
        <w:tab/>
      </w:r>
      <w:r>
        <w:rPr>
          <w:rFonts w:hint="eastAsia" w:ascii="仿宋_GB2312" w:hAnsi="微软雅黑" w:eastAsia="仿宋_GB2312"/>
          <w:sz w:val="28"/>
          <w:szCs w:val="28"/>
        </w:rPr>
        <w:t>台面尺寸:</w:t>
      </w:r>
      <w:r>
        <w:rPr>
          <w:rFonts w:hint="eastAsia" w:ascii="仿宋_GB2312" w:hAnsi="微软雅黑" w:eastAsia="仿宋_GB2312"/>
          <w:sz w:val="28"/>
          <w:szCs w:val="28"/>
        </w:rPr>
        <w:tab/>
      </w:r>
      <w:r>
        <w:rPr>
          <w:rFonts w:hint="eastAsia" w:ascii="仿宋_GB2312" w:hAnsi="微软雅黑" w:eastAsia="仿宋_GB2312"/>
          <w:sz w:val="28"/>
          <w:szCs w:val="28"/>
        </w:rPr>
        <w:t>18m (L)×3.4m(W)</w:t>
      </w:r>
    </w:p>
    <w:p>
      <w:pPr>
        <w:rPr>
          <w:rFonts w:hint="eastAsia" w:ascii="仿宋_GB2312" w:hAnsi="微软雅黑" w:eastAsia="仿宋_GB2312"/>
          <w:sz w:val="28"/>
          <w:szCs w:val="28"/>
        </w:rPr>
      </w:pPr>
      <w:r>
        <w:rPr>
          <w:rFonts w:hint="eastAsia" w:ascii="仿宋_GB2312" w:hAnsi="微软雅黑" w:eastAsia="仿宋_GB2312"/>
          <w:sz w:val="28"/>
          <w:szCs w:val="28"/>
        </w:rPr>
        <w:tab/>
      </w:r>
      <w:r>
        <w:rPr>
          <w:rFonts w:hint="eastAsia" w:ascii="仿宋_GB2312" w:hAnsi="微软雅黑" w:eastAsia="仿宋_GB2312"/>
          <w:sz w:val="28"/>
          <w:szCs w:val="28"/>
        </w:rPr>
        <w:t>结构:</w:t>
      </w:r>
      <w:r>
        <w:rPr>
          <w:rFonts w:hint="eastAsia" w:ascii="仿宋_GB2312" w:hAnsi="微软雅黑" w:eastAsia="仿宋_GB2312"/>
          <w:sz w:val="28"/>
          <w:szCs w:val="28"/>
        </w:rPr>
        <w:tab/>
      </w:r>
      <w:r>
        <w:rPr>
          <w:rFonts w:hint="eastAsia" w:ascii="仿宋_GB2312" w:hAnsi="微软雅黑" w:eastAsia="仿宋_GB2312"/>
          <w:sz w:val="28"/>
          <w:szCs w:val="28"/>
        </w:rPr>
        <w:t>3节秤台,全钢结构6+6+6</w:t>
      </w:r>
    </w:p>
    <w:p>
      <w:pPr>
        <w:rPr>
          <w:rFonts w:hint="eastAsia" w:ascii="仿宋_GB2312" w:hAnsi="微软雅黑" w:eastAsia="仿宋_GB2312"/>
          <w:sz w:val="28"/>
          <w:szCs w:val="28"/>
        </w:rPr>
      </w:pPr>
      <w:r>
        <w:rPr>
          <w:rFonts w:hint="eastAsia" w:ascii="仿宋_GB2312" w:hAnsi="微软雅黑" w:eastAsia="仿宋_GB2312"/>
          <w:sz w:val="28"/>
          <w:szCs w:val="28"/>
        </w:rPr>
        <w:tab/>
      </w:r>
      <w:r>
        <w:rPr>
          <w:rFonts w:hint="eastAsia" w:ascii="仿宋_GB2312" w:hAnsi="微软雅黑" w:eastAsia="仿宋_GB2312"/>
          <w:sz w:val="28"/>
          <w:szCs w:val="28"/>
        </w:rPr>
        <w:t>传感器配置</w:t>
      </w:r>
      <w:r>
        <w:rPr>
          <w:rFonts w:hint="eastAsia" w:ascii="仿宋_GB2312" w:hAnsi="微软雅黑" w:eastAsia="仿宋_GB2312"/>
          <w:sz w:val="28"/>
          <w:szCs w:val="28"/>
        </w:rPr>
        <w:tab/>
      </w:r>
      <w:r>
        <w:rPr>
          <w:rFonts w:hint="eastAsia" w:ascii="仿宋_GB2312" w:hAnsi="微软雅黑" w:eastAsia="仿宋_GB2312"/>
          <w:sz w:val="28"/>
          <w:szCs w:val="28"/>
        </w:rPr>
        <w:t>30t-GD/ 8只</w:t>
      </w:r>
    </w:p>
    <w:p>
      <w:pPr>
        <w:rPr>
          <w:rFonts w:hint="eastAsia" w:ascii="仿宋_GB2312" w:hAnsi="微软雅黑" w:eastAsia="仿宋_GB2312"/>
          <w:sz w:val="28"/>
          <w:szCs w:val="28"/>
        </w:rPr>
      </w:pPr>
      <w:r>
        <w:rPr>
          <w:rFonts w:hint="eastAsia" w:ascii="仿宋_GB2312" w:hAnsi="微软雅黑" w:eastAsia="仿宋_GB2312"/>
          <w:sz w:val="28"/>
          <w:szCs w:val="28"/>
        </w:rPr>
        <w:tab/>
      </w:r>
      <w:r>
        <w:rPr>
          <w:rFonts w:hint="eastAsia" w:ascii="仿宋_GB2312" w:hAnsi="微软雅黑" w:eastAsia="仿宋_GB2312"/>
          <w:sz w:val="28"/>
          <w:szCs w:val="28"/>
        </w:rPr>
        <w:t>基础形式:</w:t>
      </w:r>
      <w:r>
        <w:rPr>
          <w:rFonts w:hint="eastAsia" w:ascii="仿宋_GB2312" w:hAnsi="微软雅黑" w:eastAsia="仿宋_GB2312"/>
          <w:sz w:val="28"/>
          <w:szCs w:val="28"/>
        </w:rPr>
        <w:tab/>
      </w:r>
      <w:r>
        <w:rPr>
          <w:rFonts w:hint="eastAsia" w:ascii="仿宋_GB2312" w:hAnsi="微软雅黑" w:eastAsia="仿宋_GB2312"/>
          <w:sz w:val="28"/>
          <w:szCs w:val="28"/>
        </w:rPr>
        <w:t>无基坑、浅基坑</w:t>
      </w:r>
    </w:p>
    <w:p>
      <w:pPr>
        <w:rPr>
          <w:rFonts w:hint="eastAsia" w:ascii="仿宋_GB2312" w:hAnsi="微软雅黑" w:eastAsia="仿宋_GB2312"/>
          <w:sz w:val="28"/>
          <w:szCs w:val="28"/>
        </w:rPr>
      </w:pPr>
      <w:r>
        <w:rPr>
          <w:rFonts w:hint="eastAsia" w:ascii="仿宋_GB2312" w:hAnsi="微软雅黑" w:eastAsia="仿宋_GB2312"/>
          <w:sz w:val="28"/>
          <w:szCs w:val="28"/>
        </w:rPr>
        <w:tab/>
      </w:r>
      <w:r>
        <w:rPr>
          <w:rFonts w:hint="eastAsia" w:ascii="仿宋_GB2312" w:hAnsi="微软雅黑" w:eastAsia="仿宋_GB2312"/>
          <w:sz w:val="28"/>
          <w:szCs w:val="28"/>
        </w:rPr>
        <w:t>限位：</w:t>
      </w:r>
      <w:r>
        <w:rPr>
          <w:rFonts w:hint="eastAsia" w:ascii="仿宋_GB2312" w:hAnsi="微软雅黑" w:eastAsia="仿宋_GB2312"/>
          <w:sz w:val="28"/>
          <w:szCs w:val="28"/>
        </w:rPr>
        <w:tab/>
      </w:r>
      <w:r>
        <w:rPr>
          <w:rFonts w:hint="eastAsia" w:ascii="仿宋_GB2312" w:hAnsi="微软雅黑" w:eastAsia="仿宋_GB2312"/>
          <w:sz w:val="28"/>
          <w:szCs w:val="28"/>
        </w:rPr>
        <w:t>标准配置外加可维护性的外侧横向限位</w:t>
      </w:r>
    </w:p>
    <w:p>
      <w:pPr>
        <w:rPr>
          <w:rFonts w:hint="eastAsia" w:ascii="仿宋_GB2312" w:hAnsi="微软雅黑" w:eastAsia="仿宋_GB2312"/>
          <w:sz w:val="28"/>
          <w:szCs w:val="28"/>
        </w:rPr>
      </w:pPr>
      <w:r>
        <w:rPr>
          <w:rFonts w:hint="eastAsia" w:ascii="仿宋_GB2312" w:hAnsi="微软雅黑" w:eastAsia="仿宋_GB2312"/>
          <w:sz w:val="28"/>
          <w:szCs w:val="28"/>
        </w:rPr>
        <w:tab/>
      </w:r>
      <w:r>
        <w:rPr>
          <w:rFonts w:hint="eastAsia" w:ascii="仿宋_GB2312" w:hAnsi="微软雅黑" w:eastAsia="仿宋_GB2312"/>
          <w:sz w:val="28"/>
          <w:szCs w:val="28"/>
        </w:rPr>
        <w:t>精度:</w:t>
      </w:r>
      <w:r>
        <w:rPr>
          <w:rFonts w:hint="eastAsia" w:ascii="仿宋_GB2312" w:hAnsi="微软雅黑" w:eastAsia="仿宋_GB2312"/>
          <w:sz w:val="28"/>
          <w:szCs w:val="28"/>
        </w:rPr>
        <w:tab/>
      </w:r>
      <w:r>
        <w:rPr>
          <w:rFonts w:hint="eastAsia" w:ascii="仿宋_GB2312" w:hAnsi="微软雅黑" w:eastAsia="仿宋_GB2312"/>
          <w:sz w:val="28"/>
          <w:szCs w:val="28"/>
        </w:rPr>
        <w:t>OIML III级</w:t>
      </w:r>
    </w:p>
    <w:p>
      <w:pPr>
        <w:rPr>
          <w:rFonts w:hint="eastAsia" w:ascii="仿宋_GB2312" w:hAnsi="微软雅黑" w:eastAsia="仿宋_GB2312"/>
          <w:sz w:val="28"/>
          <w:szCs w:val="28"/>
        </w:rPr>
      </w:pPr>
      <w:r>
        <w:rPr>
          <w:rFonts w:hint="eastAsia" w:ascii="仿宋_GB2312" w:hAnsi="微软雅黑" w:eastAsia="仿宋_GB2312"/>
          <w:sz w:val="28"/>
          <w:szCs w:val="28"/>
        </w:rPr>
        <w:tab/>
      </w:r>
      <w:r>
        <w:rPr>
          <w:rFonts w:hint="eastAsia" w:ascii="仿宋_GB2312" w:hAnsi="微软雅黑" w:eastAsia="仿宋_GB2312"/>
          <w:sz w:val="28"/>
          <w:szCs w:val="28"/>
        </w:rPr>
        <w:t>电源:</w:t>
      </w:r>
      <w:r>
        <w:rPr>
          <w:rFonts w:hint="eastAsia" w:ascii="仿宋_GB2312" w:hAnsi="微软雅黑" w:eastAsia="仿宋_GB2312"/>
          <w:sz w:val="28"/>
          <w:szCs w:val="28"/>
        </w:rPr>
        <w:tab/>
      </w:r>
      <w:r>
        <w:rPr>
          <w:rFonts w:hint="eastAsia" w:ascii="仿宋_GB2312" w:hAnsi="微软雅黑" w:eastAsia="仿宋_GB2312"/>
          <w:sz w:val="28"/>
          <w:szCs w:val="28"/>
        </w:rPr>
        <w:t>220VAC(－15％～＋10％),50HZ±2％</w:t>
      </w:r>
    </w:p>
    <w:p>
      <w:pPr>
        <w:rPr>
          <w:rFonts w:hint="eastAsia" w:ascii="仿宋_GB2312" w:hAnsi="微软雅黑" w:eastAsia="仿宋_GB2312"/>
        </w:rPr>
      </w:pPr>
      <w:bookmarkStart w:id="109" w:name="_Toc9012"/>
      <w:bookmarkStart w:id="110" w:name="_Toc13984349"/>
      <w:r>
        <w:rPr>
          <w:rFonts w:hint="eastAsia" w:ascii="仿宋_GB2312" w:hAnsi="微软雅黑" w:eastAsia="仿宋_GB2312"/>
          <w:b/>
          <w:sz w:val="32"/>
        </w:rPr>
        <w:t>传感器技术指标</w:t>
      </w:r>
      <w:r>
        <w:rPr>
          <w:rFonts w:hint="eastAsia" w:ascii="仿宋_GB2312" w:hAnsi="微软雅黑" w:eastAsia="仿宋_GB2312"/>
        </w:rPr>
        <w:t>:</w:t>
      </w:r>
      <w:bookmarkEnd w:id="109"/>
    </w:p>
    <w:p>
      <w:pPr>
        <w:rPr>
          <w:rFonts w:hint="eastAsia" w:ascii="仿宋_GB2312" w:hAnsi="微软雅黑" w:eastAsia="仿宋_GB2312"/>
        </w:rPr>
      </w:pPr>
      <w:r>
        <w:rPr>
          <w:rFonts w:hint="eastAsia" w:ascii="仿宋_GB2312" w:hAnsi="微软雅黑" w:eastAsia="仿宋_GB2312"/>
          <w:b/>
          <w:sz w:val="32"/>
        </w:rPr>
        <w:t>简介</w:t>
      </w:r>
      <w:r>
        <w:rPr>
          <w:rFonts w:hint="eastAsia" w:ascii="仿宋_GB2312" w:hAnsi="微软雅黑" w:eastAsia="仿宋_GB2312"/>
        </w:rPr>
        <w:t xml:space="preserve"> </w:t>
      </w:r>
    </w:p>
    <w:p>
      <w:pPr>
        <w:ind w:firstLine="420"/>
        <w:rPr>
          <w:rFonts w:hint="eastAsia" w:ascii="仿宋_GB2312" w:hAnsi="微软雅黑" w:eastAsia="仿宋_GB2312"/>
          <w:sz w:val="28"/>
          <w:szCs w:val="28"/>
        </w:rPr>
      </w:pPr>
      <w:r>
        <w:rPr>
          <w:rFonts w:hint="eastAsia" w:ascii="仿宋_GB2312" w:hAnsi="微软雅黑" w:eastAsia="仿宋_GB2312"/>
          <w:sz w:val="28"/>
          <w:szCs w:val="28"/>
        </w:rPr>
        <w:t>GD摇柱式称重传感器是车辆衡用称重传感器,它安装维护方便、性能稳定可靠，适合在各种恶劣环境下使用。</w:t>
      </w:r>
    </w:p>
    <w:p>
      <w:pPr>
        <w:pStyle w:val="10"/>
        <w:jc w:val="left"/>
        <w:rPr>
          <w:rFonts w:hint="eastAsia" w:ascii="仿宋_GB2312" w:hAnsi="微软雅黑" w:eastAsia="仿宋_GB2312"/>
        </w:rPr>
      </w:pPr>
      <w:r>
        <w:rPr>
          <w:rFonts w:hint="eastAsia" w:ascii="仿宋_GB2312" w:hAnsi="微软雅黑" w:eastAsia="仿宋_GB2312"/>
        </w:rPr>
        <w:t>性能优点</w:t>
      </w:r>
    </w:p>
    <w:p>
      <w:pPr>
        <w:rPr>
          <w:rFonts w:hint="eastAsia" w:ascii="仿宋_GB2312" w:hAnsi="微软雅黑" w:eastAsia="仿宋_GB2312"/>
          <w:sz w:val="28"/>
          <w:szCs w:val="28"/>
        </w:rPr>
      </w:pPr>
      <w:r>
        <w:rPr>
          <w:rFonts w:hint="eastAsia" w:ascii="仿宋_GB2312" w:hAnsi="微软雅黑" w:eastAsia="仿宋_GB2312"/>
          <w:sz w:val="28"/>
          <w:szCs w:val="28"/>
        </w:rPr>
        <w:t>解决防潮、防腐问题</w:t>
      </w:r>
    </w:p>
    <w:p>
      <w:pPr>
        <w:rPr>
          <w:rFonts w:hint="eastAsia" w:ascii="仿宋_GB2312" w:hAnsi="微软雅黑" w:eastAsia="仿宋_GB2312"/>
          <w:sz w:val="28"/>
          <w:szCs w:val="28"/>
        </w:rPr>
      </w:pPr>
      <w:r>
        <w:rPr>
          <w:rFonts w:hint="eastAsia" w:ascii="仿宋_GB2312" w:hAnsi="微软雅黑" w:eastAsia="仿宋_GB2312"/>
          <w:sz w:val="28"/>
          <w:szCs w:val="28"/>
        </w:rPr>
        <w:t>采用等离子氩弧焊技术。防护等级IP68，所有部件密封在不锈钢外壳内，防水、防腐，可用于各种恶劣的工作环境，计量性能丝毫不受影响。</w:t>
      </w:r>
    </w:p>
    <w:p>
      <w:pPr>
        <w:rPr>
          <w:rFonts w:hint="eastAsia" w:ascii="仿宋_GB2312" w:hAnsi="微软雅黑" w:eastAsia="仿宋_GB2312"/>
          <w:sz w:val="28"/>
          <w:szCs w:val="28"/>
        </w:rPr>
      </w:pPr>
      <w:r>
        <w:rPr>
          <w:rFonts w:hint="eastAsia" w:ascii="仿宋_GB2312" w:hAnsi="微软雅黑" w:eastAsia="仿宋_GB2312"/>
          <w:sz w:val="28"/>
          <w:szCs w:val="28"/>
        </w:rPr>
        <w:t>防转动、防倾倒专利技术的自稳定摇柱结构</w:t>
      </w:r>
    </w:p>
    <w:p>
      <w:pPr>
        <w:rPr>
          <w:rFonts w:hint="eastAsia" w:ascii="仿宋_GB2312" w:hAnsi="微软雅黑" w:eastAsia="仿宋_GB2312"/>
          <w:sz w:val="28"/>
          <w:szCs w:val="28"/>
        </w:rPr>
      </w:pPr>
      <w:r>
        <w:rPr>
          <w:rFonts w:hint="eastAsia" w:ascii="仿宋_GB2312" w:hAnsi="微软雅黑" w:eastAsia="仿宋_GB2312"/>
          <w:sz w:val="28"/>
          <w:szCs w:val="28"/>
        </w:rPr>
        <w:t>GD柱式传感器采用球面受力技术和侧面防</w:t>
      </w:r>
      <w:r>
        <w:rPr>
          <w:rFonts w:hint="eastAsia" w:cs="宋体"/>
          <w:sz w:val="28"/>
          <w:szCs w:val="28"/>
        </w:rPr>
        <w:t>側</w:t>
      </w:r>
      <w:r>
        <w:rPr>
          <w:rFonts w:hint="eastAsia" w:ascii="仿宋_GB2312" w:hAnsi="仿宋_GB2312" w:eastAsia="仿宋_GB2312" w:cs="仿宋_GB2312"/>
          <w:sz w:val="28"/>
          <w:szCs w:val="28"/>
        </w:rPr>
        <w:t>向力弧面技术的有机组合从而达到防倾倒要求，同时传感器底部连接柱面采用六角柱面形式从而又具有防转动功能。</w:t>
      </w:r>
    </w:p>
    <w:p>
      <w:pPr>
        <w:rPr>
          <w:rFonts w:hint="eastAsia" w:ascii="仿宋_GB2312" w:hAnsi="微软雅黑" w:eastAsia="仿宋_GB2312"/>
          <w:sz w:val="28"/>
          <w:szCs w:val="28"/>
        </w:rPr>
      </w:pPr>
      <w:r>
        <w:rPr>
          <w:rFonts w:hint="eastAsia" w:ascii="仿宋_GB2312" w:hAnsi="微软雅黑" w:eastAsia="仿宋_GB2312"/>
          <w:sz w:val="28"/>
          <w:szCs w:val="28"/>
        </w:rPr>
        <w:t>低外型的柱式结构</w:t>
      </w:r>
    </w:p>
    <w:p>
      <w:pPr>
        <w:rPr>
          <w:rFonts w:hint="eastAsia" w:ascii="仿宋_GB2312" w:hAnsi="微软雅黑" w:eastAsia="仿宋_GB2312"/>
          <w:sz w:val="28"/>
          <w:szCs w:val="28"/>
        </w:rPr>
      </w:pPr>
      <w:r>
        <w:rPr>
          <w:rFonts w:hint="eastAsia" w:ascii="仿宋_GB2312" w:hAnsi="微软雅黑" w:eastAsia="仿宋_GB2312"/>
          <w:sz w:val="28"/>
          <w:szCs w:val="28"/>
        </w:rPr>
        <w:t xml:space="preserve">安装方便、快速，过载能力强，无需专门工具。            </w:t>
      </w:r>
    </w:p>
    <w:p>
      <w:pPr>
        <w:rPr>
          <w:rFonts w:hint="eastAsia" w:ascii="仿宋_GB2312" w:hAnsi="微软雅黑" w:eastAsia="仿宋_GB2312"/>
          <w:sz w:val="28"/>
          <w:szCs w:val="28"/>
        </w:rPr>
      </w:pPr>
      <w:r>
        <w:rPr>
          <w:rFonts w:hint="eastAsia" w:ascii="仿宋_GB2312" w:hAnsi="微软雅黑" w:eastAsia="仿宋_GB2312"/>
          <w:sz w:val="28"/>
          <w:szCs w:val="28"/>
        </w:rPr>
        <w:t xml:space="preserve">获得荷兰NMi颁发的OIML R60 C3证书 </w:t>
      </w:r>
    </w:p>
    <w:p>
      <w:pPr>
        <w:rPr>
          <w:rFonts w:hint="eastAsia" w:ascii="仿宋_GB2312" w:hAnsi="微软雅黑" w:eastAsia="仿宋_GB2312"/>
          <w:sz w:val="28"/>
          <w:szCs w:val="28"/>
        </w:rPr>
      </w:pPr>
      <w:r>
        <w:rPr>
          <w:rFonts w:hint="eastAsia" w:ascii="仿宋_GB2312" w:hAnsi="微软雅黑" w:eastAsia="仿宋_GB2312"/>
          <w:sz w:val="28"/>
          <w:szCs w:val="28"/>
        </w:rPr>
        <w:t>获得美国NIST颁发的NTEP 15000III－L证书</w:t>
      </w:r>
    </w:p>
    <w:p>
      <w:pPr>
        <w:pStyle w:val="10"/>
        <w:jc w:val="left"/>
        <w:rPr>
          <w:rFonts w:hint="eastAsia" w:ascii="仿宋_GB2312" w:hAnsi="微软雅黑" w:eastAsia="仿宋_GB2312"/>
        </w:rPr>
      </w:pPr>
      <w:r>
        <w:rPr>
          <w:rFonts w:hint="eastAsia" w:ascii="仿宋_GB2312" w:hAnsi="微软雅黑" w:eastAsia="仿宋_GB2312"/>
        </w:rPr>
        <w:t>性能参数</w:t>
      </w:r>
    </w:p>
    <w:p>
      <w:pPr>
        <w:rPr>
          <w:rFonts w:hint="eastAsia" w:ascii="仿宋_GB2312" w:hAnsi="微软雅黑" w:eastAsia="仿宋_GB2312"/>
          <w:sz w:val="28"/>
          <w:szCs w:val="28"/>
        </w:rPr>
      </w:pPr>
      <w:r>
        <w:rPr>
          <w:rFonts w:hint="eastAsia" w:ascii="仿宋_GB2312" w:hAnsi="微软雅黑" w:eastAsia="仿宋_GB2312"/>
          <w:sz w:val="28"/>
          <w:szCs w:val="28"/>
        </w:rPr>
        <w:t>结构:压式柱型</w:t>
      </w:r>
    </w:p>
    <w:p>
      <w:pPr>
        <w:rPr>
          <w:rFonts w:hint="eastAsia" w:ascii="仿宋_GB2312" w:hAnsi="微软雅黑" w:eastAsia="仿宋_GB2312"/>
          <w:sz w:val="28"/>
          <w:szCs w:val="28"/>
        </w:rPr>
      </w:pPr>
      <w:r>
        <w:rPr>
          <w:rFonts w:hint="eastAsia" w:ascii="仿宋_GB2312" w:hAnsi="微软雅黑" w:eastAsia="仿宋_GB2312"/>
          <w:sz w:val="28"/>
          <w:szCs w:val="28"/>
        </w:rPr>
        <w:t>额定容量:30吨</w:t>
      </w:r>
    </w:p>
    <w:p>
      <w:pPr>
        <w:rPr>
          <w:rFonts w:hint="eastAsia" w:ascii="仿宋_GB2312" w:hAnsi="微软雅黑" w:eastAsia="仿宋_GB2312"/>
          <w:sz w:val="28"/>
          <w:szCs w:val="28"/>
        </w:rPr>
      </w:pPr>
      <w:r>
        <w:rPr>
          <w:rFonts w:hint="eastAsia" w:ascii="仿宋_GB2312" w:hAnsi="微软雅黑" w:eastAsia="仿宋_GB2312"/>
          <w:sz w:val="28"/>
          <w:szCs w:val="28"/>
        </w:rPr>
        <w:t>最大安全过载:150%FS</w:t>
      </w:r>
    </w:p>
    <w:p>
      <w:pPr>
        <w:rPr>
          <w:rFonts w:hint="eastAsia" w:ascii="仿宋_GB2312" w:hAnsi="微软雅黑" w:eastAsia="仿宋_GB2312"/>
          <w:sz w:val="28"/>
          <w:szCs w:val="28"/>
        </w:rPr>
      </w:pPr>
      <w:r>
        <w:rPr>
          <w:rFonts w:hint="eastAsia" w:ascii="仿宋_GB2312" w:hAnsi="微软雅黑" w:eastAsia="仿宋_GB2312"/>
          <w:sz w:val="28"/>
          <w:szCs w:val="28"/>
        </w:rPr>
        <w:t>精度:OIML C3</w:t>
      </w:r>
    </w:p>
    <w:p>
      <w:pPr>
        <w:rPr>
          <w:rFonts w:hint="eastAsia" w:ascii="仿宋_GB2312" w:hAnsi="微软雅黑" w:eastAsia="仿宋_GB2312"/>
          <w:sz w:val="28"/>
          <w:szCs w:val="28"/>
        </w:rPr>
      </w:pPr>
      <w:r>
        <w:rPr>
          <w:rFonts w:hint="eastAsia" w:ascii="仿宋_GB2312" w:hAnsi="微软雅黑" w:eastAsia="仿宋_GB2312"/>
          <w:sz w:val="28"/>
          <w:szCs w:val="28"/>
        </w:rPr>
        <w:t>分度值：2mV/V+0.002</w:t>
      </w:r>
    </w:p>
    <w:p>
      <w:pPr>
        <w:rPr>
          <w:rFonts w:hint="eastAsia" w:ascii="仿宋_GB2312" w:hAnsi="微软雅黑" w:eastAsia="仿宋_GB2312"/>
          <w:sz w:val="28"/>
          <w:szCs w:val="28"/>
        </w:rPr>
      </w:pPr>
      <w:r>
        <w:rPr>
          <w:rFonts w:hint="eastAsia" w:ascii="仿宋_GB2312" w:hAnsi="微软雅黑" w:eastAsia="仿宋_GB2312"/>
          <w:sz w:val="28"/>
          <w:szCs w:val="28"/>
        </w:rPr>
        <w:t>非线性: 0.02%FS</w:t>
      </w:r>
    </w:p>
    <w:p>
      <w:pPr>
        <w:rPr>
          <w:rFonts w:hint="eastAsia" w:ascii="仿宋_GB2312" w:hAnsi="微软雅黑" w:eastAsia="仿宋_GB2312"/>
          <w:sz w:val="28"/>
          <w:szCs w:val="28"/>
        </w:rPr>
      </w:pPr>
      <w:r>
        <w:rPr>
          <w:rFonts w:hint="eastAsia" w:ascii="仿宋_GB2312" w:hAnsi="微软雅黑" w:eastAsia="仿宋_GB2312"/>
          <w:sz w:val="28"/>
          <w:szCs w:val="28"/>
        </w:rPr>
        <w:t>滞后：+0.02%F.S</w:t>
      </w:r>
    </w:p>
    <w:p>
      <w:pPr>
        <w:rPr>
          <w:rFonts w:hint="eastAsia" w:ascii="仿宋_GB2312" w:hAnsi="微软雅黑" w:eastAsia="仿宋_GB2312"/>
          <w:sz w:val="28"/>
          <w:szCs w:val="28"/>
        </w:rPr>
      </w:pPr>
      <w:r>
        <w:rPr>
          <w:rFonts w:hint="eastAsia" w:ascii="仿宋_GB2312" w:hAnsi="微软雅黑" w:eastAsia="仿宋_GB2312"/>
          <w:sz w:val="28"/>
          <w:szCs w:val="28"/>
        </w:rPr>
        <w:t>非重复性：0.01%F.S</w:t>
      </w:r>
    </w:p>
    <w:p>
      <w:pPr>
        <w:rPr>
          <w:rFonts w:hint="eastAsia" w:ascii="仿宋_GB2312" w:hAnsi="微软雅黑" w:eastAsia="仿宋_GB2312"/>
          <w:sz w:val="28"/>
          <w:szCs w:val="28"/>
        </w:rPr>
      </w:pPr>
      <w:r>
        <w:rPr>
          <w:rFonts w:hint="eastAsia" w:ascii="仿宋_GB2312" w:hAnsi="微软雅黑" w:eastAsia="仿宋_GB2312"/>
          <w:sz w:val="28"/>
          <w:szCs w:val="28"/>
        </w:rPr>
        <w:t>蠕变(30分钟): 0.025%FS</w:t>
      </w:r>
    </w:p>
    <w:p>
      <w:pPr>
        <w:rPr>
          <w:rFonts w:hint="eastAsia" w:ascii="仿宋_GB2312" w:hAnsi="微软雅黑" w:eastAsia="仿宋_GB2312"/>
          <w:sz w:val="28"/>
          <w:szCs w:val="28"/>
        </w:rPr>
      </w:pPr>
      <w:r>
        <w:rPr>
          <w:rFonts w:hint="eastAsia" w:ascii="仿宋_GB2312" w:hAnsi="微软雅黑" w:eastAsia="仿宋_GB2312"/>
          <w:sz w:val="28"/>
          <w:szCs w:val="28"/>
        </w:rPr>
        <w:t>零点平衡：±1%F.S</w:t>
      </w:r>
    </w:p>
    <w:p>
      <w:pPr>
        <w:rPr>
          <w:rFonts w:hint="eastAsia" w:ascii="仿宋_GB2312" w:hAnsi="微软雅黑" w:eastAsia="仿宋_GB2312"/>
          <w:sz w:val="28"/>
          <w:szCs w:val="28"/>
        </w:rPr>
      </w:pPr>
      <w:r>
        <w:rPr>
          <w:rFonts w:hint="eastAsia" w:ascii="仿宋_GB2312" w:hAnsi="微软雅黑" w:eastAsia="仿宋_GB2312"/>
          <w:sz w:val="28"/>
          <w:szCs w:val="28"/>
        </w:rPr>
        <w:t>量程温度系数：0.002%F.S/</w:t>
      </w:r>
      <w:r>
        <w:rPr>
          <w:rFonts w:hint="eastAsia" w:ascii="仿宋_GB2312" w:hAnsi="微软雅黑" w:eastAsia="仿宋_GB2312"/>
          <w:sz w:val="28"/>
          <w:szCs w:val="28"/>
        </w:rPr>
        <w:sym w:font="Symbol" w:char="F0B0"/>
      </w:r>
      <w:r>
        <w:rPr>
          <w:rFonts w:hint="eastAsia" w:ascii="仿宋_GB2312" w:hAnsi="微软雅黑" w:eastAsia="仿宋_GB2312"/>
          <w:sz w:val="28"/>
          <w:szCs w:val="28"/>
        </w:rPr>
        <w:t>C</w:t>
      </w:r>
    </w:p>
    <w:p>
      <w:pPr>
        <w:rPr>
          <w:rFonts w:hint="eastAsia" w:ascii="仿宋_GB2312" w:hAnsi="微软雅黑" w:eastAsia="仿宋_GB2312"/>
          <w:sz w:val="28"/>
          <w:szCs w:val="28"/>
        </w:rPr>
      </w:pPr>
      <w:r>
        <w:rPr>
          <w:rFonts w:hint="eastAsia" w:ascii="仿宋_GB2312" w:hAnsi="微软雅黑" w:eastAsia="仿宋_GB2312"/>
          <w:sz w:val="28"/>
          <w:szCs w:val="28"/>
        </w:rPr>
        <w:t>零点温度系数: 0.002%F.S/</w:t>
      </w:r>
      <w:r>
        <w:rPr>
          <w:rFonts w:hint="eastAsia" w:ascii="仿宋_GB2312" w:hAnsi="微软雅黑" w:eastAsia="仿宋_GB2312"/>
          <w:sz w:val="28"/>
          <w:szCs w:val="28"/>
        </w:rPr>
        <w:sym w:font="Symbol" w:char="F0B0"/>
      </w:r>
      <w:r>
        <w:rPr>
          <w:rFonts w:hint="eastAsia" w:ascii="仿宋_GB2312" w:hAnsi="微软雅黑" w:eastAsia="仿宋_GB2312"/>
          <w:sz w:val="28"/>
          <w:szCs w:val="28"/>
        </w:rPr>
        <w:t>C</w:t>
      </w:r>
    </w:p>
    <w:p>
      <w:pPr>
        <w:rPr>
          <w:rFonts w:hint="eastAsia" w:ascii="仿宋_GB2312" w:hAnsi="微软雅黑" w:eastAsia="仿宋_GB2312"/>
          <w:sz w:val="28"/>
          <w:szCs w:val="28"/>
        </w:rPr>
      </w:pPr>
      <w:r>
        <w:rPr>
          <w:rFonts w:hint="eastAsia" w:ascii="仿宋_GB2312" w:hAnsi="微软雅黑" w:eastAsia="仿宋_GB2312"/>
          <w:sz w:val="28"/>
          <w:szCs w:val="28"/>
        </w:rPr>
        <w:t>温度补偿范围：-10</w:t>
      </w:r>
      <w:r>
        <w:rPr>
          <w:rFonts w:hint="eastAsia" w:ascii="仿宋_GB2312" w:hAnsi="微软雅黑" w:eastAsia="仿宋_GB2312"/>
          <w:sz w:val="28"/>
          <w:szCs w:val="28"/>
        </w:rPr>
        <w:sym w:font="Symbol" w:char="F0B0"/>
      </w:r>
      <w:r>
        <w:rPr>
          <w:rFonts w:hint="eastAsia" w:ascii="仿宋_GB2312" w:hAnsi="微软雅黑" w:eastAsia="仿宋_GB2312"/>
          <w:sz w:val="28"/>
          <w:szCs w:val="28"/>
        </w:rPr>
        <w:t>C~+40</w:t>
      </w:r>
      <w:r>
        <w:rPr>
          <w:rFonts w:hint="eastAsia" w:ascii="仿宋_GB2312" w:hAnsi="微软雅黑" w:eastAsia="仿宋_GB2312"/>
          <w:sz w:val="28"/>
          <w:szCs w:val="28"/>
        </w:rPr>
        <w:sym w:font="Symbol" w:char="F0B0"/>
      </w:r>
      <w:r>
        <w:rPr>
          <w:rFonts w:hint="eastAsia" w:ascii="仿宋_GB2312" w:hAnsi="微软雅黑" w:eastAsia="仿宋_GB2312"/>
          <w:sz w:val="28"/>
          <w:szCs w:val="28"/>
        </w:rPr>
        <w:t>C</w:t>
      </w:r>
    </w:p>
    <w:p>
      <w:pPr>
        <w:rPr>
          <w:rFonts w:hint="eastAsia" w:ascii="仿宋_GB2312" w:hAnsi="微软雅黑" w:eastAsia="仿宋_GB2312"/>
          <w:sz w:val="28"/>
          <w:szCs w:val="28"/>
        </w:rPr>
      </w:pPr>
      <w:r>
        <w:rPr>
          <w:rFonts w:hint="eastAsia" w:ascii="仿宋_GB2312" w:hAnsi="微软雅黑" w:eastAsia="仿宋_GB2312"/>
          <w:sz w:val="28"/>
          <w:szCs w:val="28"/>
        </w:rPr>
        <w:t>使用温度范围: -20</w:t>
      </w:r>
      <w:r>
        <w:rPr>
          <w:rFonts w:hint="eastAsia" w:ascii="仿宋_GB2312" w:hAnsi="微软雅黑" w:eastAsia="仿宋_GB2312"/>
          <w:sz w:val="28"/>
          <w:szCs w:val="28"/>
        </w:rPr>
        <w:sym w:font="Symbol" w:char="F0B0"/>
      </w:r>
      <w:r>
        <w:rPr>
          <w:rFonts w:hint="eastAsia" w:ascii="仿宋_GB2312" w:hAnsi="微软雅黑" w:eastAsia="仿宋_GB2312"/>
          <w:sz w:val="28"/>
          <w:szCs w:val="28"/>
        </w:rPr>
        <w:t>C~+60</w:t>
      </w:r>
      <w:r>
        <w:rPr>
          <w:rFonts w:hint="eastAsia" w:ascii="仿宋_GB2312" w:hAnsi="微软雅黑" w:eastAsia="仿宋_GB2312"/>
          <w:sz w:val="28"/>
          <w:szCs w:val="28"/>
        </w:rPr>
        <w:sym w:font="Symbol" w:char="F0B0"/>
      </w:r>
      <w:r>
        <w:rPr>
          <w:rFonts w:hint="eastAsia" w:ascii="仿宋_GB2312" w:hAnsi="微软雅黑" w:eastAsia="仿宋_GB2312"/>
          <w:sz w:val="28"/>
          <w:szCs w:val="28"/>
        </w:rPr>
        <w:t>C</w:t>
      </w:r>
    </w:p>
    <w:p>
      <w:pPr>
        <w:rPr>
          <w:rFonts w:hint="eastAsia" w:ascii="仿宋_GB2312" w:hAnsi="微软雅黑" w:eastAsia="仿宋_GB2312"/>
          <w:sz w:val="28"/>
          <w:szCs w:val="28"/>
        </w:rPr>
      </w:pPr>
      <w:r>
        <w:rPr>
          <w:rFonts w:hint="eastAsia" w:ascii="仿宋_GB2312" w:hAnsi="微软雅黑" w:eastAsia="仿宋_GB2312"/>
          <w:sz w:val="28"/>
          <w:szCs w:val="28"/>
        </w:rPr>
        <w:t>输入阻抗：1165</w:t>
      </w:r>
      <w:r>
        <w:rPr>
          <w:rFonts w:hint="eastAsia" w:ascii="仿宋_GB2312" w:hAnsi="微软雅黑" w:eastAsia="仿宋_GB2312"/>
          <w:sz w:val="28"/>
          <w:szCs w:val="28"/>
        </w:rPr>
        <w:sym w:font="Symbol" w:char="F0B1"/>
      </w:r>
      <w:r>
        <w:rPr>
          <w:rFonts w:hint="eastAsia" w:ascii="仿宋_GB2312" w:hAnsi="微软雅黑" w:eastAsia="仿宋_GB2312"/>
          <w:sz w:val="28"/>
          <w:szCs w:val="28"/>
        </w:rPr>
        <w:t>10</w:t>
      </w:r>
      <w:r>
        <w:rPr>
          <w:rFonts w:hint="eastAsia" w:ascii="仿宋_GB2312" w:hAnsi="微软雅黑" w:eastAsia="仿宋_GB2312"/>
          <w:sz w:val="28"/>
          <w:szCs w:val="28"/>
        </w:rPr>
        <w:sym w:font="Symbol" w:char="F057"/>
      </w:r>
    </w:p>
    <w:p>
      <w:pPr>
        <w:rPr>
          <w:rFonts w:hint="eastAsia" w:ascii="仿宋_GB2312" w:hAnsi="微软雅黑" w:eastAsia="仿宋_GB2312"/>
          <w:sz w:val="28"/>
          <w:szCs w:val="28"/>
        </w:rPr>
      </w:pPr>
      <w:r>
        <w:rPr>
          <w:rFonts w:hint="eastAsia" w:ascii="仿宋_GB2312" w:hAnsi="微软雅黑" w:eastAsia="仿宋_GB2312"/>
          <w:sz w:val="28"/>
          <w:szCs w:val="28"/>
        </w:rPr>
        <w:t>输出阻抗：1500</w:t>
      </w:r>
      <w:r>
        <w:rPr>
          <w:rFonts w:hint="eastAsia" w:ascii="仿宋_GB2312" w:hAnsi="微软雅黑" w:eastAsia="仿宋_GB2312"/>
          <w:sz w:val="28"/>
          <w:szCs w:val="28"/>
        </w:rPr>
        <w:sym w:font="Symbol" w:char="F0B1"/>
      </w:r>
      <w:r>
        <w:rPr>
          <w:rFonts w:hint="eastAsia" w:ascii="仿宋_GB2312" w:hAnsi="微软雅黑" w:eastAsia="仿宋_GB2312"/>
          <w:sz w:val="28"/>
          <w:szCs w:val="28"/>
        </w:rPr>
        <w:t>2</w:t>
      </w:r>
      <w:r>
        <w:rPr>
          <w:rFonts w:hint="eastAsia" w:ascii="仿宋_GB2312" w:hAnsi="微软雅黑" w:eastAsia="仿宋_GB2312"/>
          <w:sz w:val="28"/>
          <w:szCs w:val="28"/>
        </w:rPr>
        <w:sym w:font="Symbol" w:char="F057"/>
      </w:r>
    </w:p>
    <w:p>
      <w:pPr>
        <w:rPr>
          <w:rFonts w:hint="eastAsia" w:ascii="仿宋_GB2312" w:hAnsi="微软雅黑" w:eastAsia="仿宋_GB2312"/>
          <w:sz w:val="28"/>
          <w:szCs w:val="28"/>
        </w:rPr>
      </w:pPr>
      <w:r>
        <w:rPr>
          <w:rFonts w:hint="eastAsia" w:ascii="仿宋_GB2312" w:hAnsi="微软雅黑" w:eastAsia="仿宋_GB2312"/>
          <w:sz w:val="28"/>
          <w:szCs w:val="28"/>
        </w:rPr>
        <w:t>绝缘电阻：5000M</w:t>
      </w:r>
      <w:r>
        <w:rPr>
          <w:rFonts w:hint="eastAsia" w:ascii="仿宋_GB2312" w:hAnsi="微软雅黑" w:eastAsia="仿宋_GB2312"/>
          <w:sz w:val="28"/>
          <w:szCs w:val="28"/>
        </w:rPr>
        <w:sym w:font="Symbol" w:char="F057"/>
      </w:r>
      <w:r>
        <w:rPr>
          <w:rFonts w:hint="eastAsia" w:ascii="仿宋_GB2312" w:hAnsi="微软雅黑" w:eastAsia="仿宋_GB2312"/>
          <w:sz w:val="28"/>
          <w:szCs w:val="28"/>
        </w:rPr>
        <w:t>(at50VDC)</w:t>
      </w:r>
    </w:p>
    <w:p>
      <w:pPr>
        <w:rPr>
          <w:rFonts w:hint="eastAsia" w:ascii="仿宋_GB2312" w:hAnsi="微软雅黑" w:eastAsia="仿宋_GB2312"/>
          <w:sz w:val="28"/>
          <w:szCs w:val="28"/>
        </w:rPr>
      </w:pPr>
      <w:r>
        <w:rPr>
          <w:rFonts w:hint="eastAsia" w:ascii="仿宋_GB2312" w:hAnsi="微软雅黑" w:eastAsia="仿宋_GB2312"/>
          <w:sz w:val="28"/>
          <w:szCs w:val="28"/>
        </w:rPr>
        <w:t>激励电压：6~15V(DC/AC)</w:t>
      </w:r>
    </w:p>
    <w:p>
      <w:pPr>
        <w:rPr>
          <w:rFonts w:hint="eastAsia" w:ascii="仿宋_GB2312" w:hAnsi="微软雅黑" w:eastAsia="仿宋_GB2312"/>
          <w:sz w:val="28"/>
          <w:szCs w:val="28"/>
        </w:rPr>
      </w:pPr>
      <w:r>
        <w:rPr>
          <w:rFonts w:hint="eastAsia" w:ascii="仿宋_GB2312" w:hAnsi="微软雅黑" w:eastAsia="仿宋_GB2312"/>
          <w:sz w:val="28"/>
          <w:szCs w:val="28"/>
        </w:rPr>
        <w:t>防护等级：IP68</w:t>
      </w:r>
    </w:p>
    <w:bookmarkEnd w:id="110"/>
    <w:p>
      <w:pPr>
        <w:pStyle w:val="10"/>
        <w:jc w:val="left"/>
        <w:rPr>
          <w:rFonts w:hint="eastAsia" w:ascii="仿宋_GB2312" w:hAnsi="微软雅黑" w:eastAsia="仿宋_GB2312"/>
        </w:rPr>
      </w:pPr>
      <w:bookmarkStart w:id="111" w:name="_Toc1760"/>
      <w:r>
        <w:rPr>
          <w:rFonts w:hint="eastAsia" w:ascii="仿宋_GB2312" w:hAnsi="微软雅黑" w:eastAsia="仿宋_GB2312"/>
        </w:rPr>
        <w:t>称重显示仪表IND245</w:t>
      </w:r>
      <w:bookmarkEnd w:id="111"/>
    </w:p>
    <w:p>
      <w:pPr>
        <w:rPr>
          <w:rFonts w:hint="eastAsia" w:ascii="仿宋_GB2312" w:hAnsi="微软雅黑" w:eastAsia="仿宋_GB2312"/>
          <w:sz w:val="28"/>
          <w:szCs w:val="28"/>
        </w:rPr>
      </w:pPr>
      <w:r>
        <w:rPr>
          <w:rFonts w:hint="eastAsia" w:ascii="仿宋_GB2312" w:hAnsi="微软雅黑" w:eastAsia="仿宋_GB2312"/>
          <w:sz w:val="28"/>
          <w:szCs w:val="28"/>
        </w:rPr>
        <w:drawing>
          <wp:anchor distT="0" distB="0" distL="114300" distR="114300" simplePos="0" relativeHeight="251660288" behindDoc="0" locked="0" layoutInCell="1" allowOverlap="1">
            <wp:simplePos x="0" y="0"/>
            <wp:positionH relativeFrom="column">
              <wp:posOffset>4022725</wp:posOffset>
            </wp:positionH>
            <wp:positionV relativeFrom="paragraph">
              <wp:posOffset>138430</wp:posOffset>
            </wp:positionV>
            <wp:extent cx="2019300" cy="1571625"/>
            <wp:effectExtent l="0" t="0" r="0" b="9525"/>
            <wp:wrapSquare wrapText="bothSides"/>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15"/>
                    <a:stretch>
                      <a:fillRect/>
                    </a:stretch>
                  </pic:blipFill>
                  <pic:spPr>
                    <a:xfrm>
                      <a:off x="0" y="0"/>
                      <a:ext cx="2019300" cy="1571625"/>
                    </a:xfrm>
                    <a:prstGeom prst="rect">
                      <a:avLst/>
                    </a:prstGeom>
                    <a:noFill/>
                    <a:ln w="9525">
                      <a:noFill/>
                    </a:ln>
                  </pic:spPr>
                </pic:pic>
              </a:graphicData>
            </a:graphic>
          </wp:anchor>
        </w:drawing>
      </w:r>
      <w:r>
        <w:rPr>
          <w:rFonts w:hint="eastAsia" w:ascii="仿宋_GB2312" w:hAnsi="微软雅黑" w:eastAsia="仿宋_GB2312"/>
          <w:sz w:val="28"/>
          <w:szCs w:val="28"/>
        </w:rPr>
        <w:t xml:space="preserve">全不锈钢外壳，抗干扰能力强；防护等级IP44； </w:t>
      </w:r>
    </w:p>
    <w:p>
      <w:pPr>
        <w:rPr>
          <w:rFonts w:hint="eastAsia" w:ascii="仿宋_GB2312" w:hAnsi="微软雅黑" w:eastAsia="仿宋_GB2312"/>
          <w:sz w:val="28"/>
          <w:szCs w:val="28"/>
        </w:rPr>
      </w:pPr>
      <w:r>
        <w:rPr>
          <w:rFonts w:hint="eastAsia" w:ascii="仿宋_GB2312" w:hAnsi="微软雅黑" w:eastAsia="仿宋_GB2312"/>
          <w:sz w:val="28"/>
          <w:szCs w:val="28"/>
        </w:rPr>
        <w:t>40X96 LCD全点阵液晶显示屏，全中文菜单显示</w:t>
      </w:r>
    </w:p>
    <w:p>
      <w:pPr>
        <w:rPr>
          <w:rFonts w:hint="eastAsia" w:ascii="仿宋_GB2312" w:hAnsi="微软雅黑" w:eastAsia="仿宋_GB2312"/>
          <w:sz w:val="28"/>
          <w:szCs w:val="28"/>
        </w:rPr>
      </w:pPr>
      <w:r>
        <w:rPr>
          <w:rFonts w:hint="eastAsia" w:ascii="仿宋_GB2312" w:hAnsi="微软雅黑" w:eastAsia="仿宋_GB2312"/>
          <w:sz w:val="28"/>
          <w:szCs w:val="28"/>
        </w:rPr>
        <w:t>最大显示分度数:</w:t>
      </w:r>
      <w:r>
        <w:rPr>
          <w:rFonts w:hint="eastAsia" w:ascii="仿宋_GB2312" w:hAnsi="微软雅黑" w:eastAsia="仿宋_GB2312"/>
          <w:sz w:val="28"/>
          <w:szCs w:val="28"/>
        </w:rPr>
        <w:tab/>
      </w:r>
      <w:r>
        <w:rPr>
          <w:rFonts w:hint="eastAsia" w:ascii="仿宋_GB2312" w:hAnsi="微软雅黑" w:eastAsia="仿宋_GB2312"/>
          <w:sz w:val="28"/>
          <w:szCs w:val="28"/>
        </w:rPr>
        <w:t>50,000</w:t>
      </w:r>
    </w:p>
    <w:p>
      <w:pPr>
        <w:rPr>
          <w:rFonts w:hint="eastAsia" w:ascii="仿宋_GB2312" w:hAnsi="微软雅黑" w:eastAsia="仿宋_GB2312"/>
          <w:sz w:val="28"/>
          <w:szCs w:val="28"/>
        </w:rPr>
      </w:pPr>
      <w:r>
        <w:rPr>
          <w:rFonts w:hint="eastAsia" w:ascii="仿宋_GB2312" w:hAnsi="微软雅黑" w:eastAsia="仿宋_GB2312"/>
          <w:sz w:val="28"/>
          <w:szCs w:val="28"/>
        </w:rPr>
        <w:t>A/D转换率:</w:t>
      </w:r>
      <w:r>
        <w:rPr>
          <w:rFonts w:hint="eastAsia" w:ascii="仿宋_GB2312" w:hAnsi="微软雅黑" w:eastAsia="仿宋_GB2312"/>
          <w:sz w:val="28"/>
          <w:szCs w:val="28"/>
        </w:rPr>
        <w:tab/>
      </w:r>
      <w:r>
        <w:rPr>
          <w:rFonts w:hint="eastAsia" w:ascii="仿宋_GB2312" w:hAnsi="微软雅黑" w:eastAsia="仿宋_GB2312"/>
          <w:sz w:val="28"/>
          <w:szCs w:val="28"/>
        </w:rPr>
        <w:t>内部366次/秒</w:t>
      </w:r>
    </w:p>
    <w:p>
      <w:pPr>
        <w:rPr>
          <w:rFonts w:hint="eastAsia" w:ascii="仿宋_GB2312" w:hAnsi="微软雅黑" w:eastAsia="仿宋_GB2312"/>
          <w:sz w:val="28"/>
          <w:szCs w:val="28"/>
        </w:rPr>
      </w:pPr>
      <w:r>
        <w:rPr>
          <w:rFonts w:hint="eastAsia" w:ascii="仿宋_GB2312" w:hAnsi="微软雅黑" w:eastAsia="仿宋_GB2312"/>
          <w:sz w:val="28"/>
          <w:szCs w:val="28"/>
        </w:rPr>
        <w:t>灵敏度:1微伏/分度值</w:t>
      </w:r>
    </w:p>
    <w:p>
      <w:pPr>
        <w:rPr>
          <w:rFonts w:hint="eastAsia" w:ascii="仿宋_GB2312" w:hAnsi="微软雅黑" w:eastAsia="仿宋_GB2312"/>
          <w:sz w:val="28"/>
          <w:szCs w:val="28"/>
        </w:rPr>
      </w:pPr>
      <w:r>
        <w:rPr>
          <w:rFonts w:hint="eastAsia" w:ascii="仿宋_GB2312" w:hAnsi="微软雅黑" w:eastAsia="仿宋_GB2312"/>
          <w:sz w:val="28"/>
          <w:szCs w:val="28"/>
        </w:rPr>
        <w:t>精度等级:</w:t>
      </w:r>
      <w:r>
        <w:rPr>
          <w:rFonts w:hint="eastAsia" w:ascii="仿宋_GB2312" w:hAnsi="微软雅黑" w:eastAsia="仿宋_GB2312"/>
          <w:sz w:val="28"/>
          <w:szCs w:val="28"/>
        </w:rPr>
        <w:tab/>
      </w:r>
      <w:r>
        <w:rPr>
          <w:rFonts w:hint="eastAsia" w:ascii="仿宋_GB2312" w:hAnsi="微软雅黑" w:eastAsia="仿宋_GB2312"/>
          <w:sz w:val="28"/>
          <w:szCs w:val="28"/>
        </w:rPr>
        <w:t>OIML6000e</w:t>
      </w:r>
    </w:p>
    <w:p>
      <w:pPr>
        <w:rPr>
          <w:rFonts w:hint="eastAsia" w:ascii="仿宋_GB2312" w:hAnsi="微软雅黑" w:eastAsia="仿宋_GB2312"/>
          <w:sz w:val="28"/>
          <w:szCs w:val="28"/>
        </w:rPr>
      </w:pPr>
      <w:r>
        <w:rPr>
          <w:rFonts w:hint="eastAsia" w:ascii="仿宋_GB2312" w:hAnsi="微软雅黑" w:eastAsia="仿宋_GB2312"/>
          <w:sz w:val="28"/>
          <w:szCs w:val="28"/>
        </w:rPr>
        <w:t>三种称重方式可选：简单称重/标准称重/配对称重以满足客户的称重要求。</w:t>
      </w:r>
    </w:p>
    <w:p>
      <w:pPr>
        <w:rPr>
          <w:rFonts w:hint="eastAsia" w:ascii="仿宋_GB2312" w:hAnsi="微软雅黑" w:eastAsia="仿宋_GB2312"/>
          <w:sz w:val="28"/>
          <w:szCs w:val="28"/>
        </w:rPr>
      </w:pPr>
      <w:r>
        <w:rPr>
          <w:rFonts w:hint="eastAsia" w:ascii="仿宋_GB2312" w:hAnsi="微软雅黑" w:eastAsia="仿宋_GB2312"/>
          <w:sz w:val="28"/>
          <w:szCs w:val="28"/>
        </w:rPr>
        <w:t>激励电压:</w:t>
      </w:r>
      <w:r>
        <w:rPr>
          <w:rFonts w:hint="eastAsia" w:ascii="仿宋_GB2312" w:hAnsi="微软雅黑" w:eastAsia="仿宋_GB2312"/>
          <w:sz w:val="28"/>
          <w:szCs w:val="28"/>
        </w:rPr>
        <w:tab/>
      </w:r>
      <w:r>
        <w:rPr>
          <w:rFonts w:hint="eastAsia" w:ascii="仿宋_GB2312" w:hAnsi="微软雅黑" w:eastAsia="仿宋_GB2312"/>
          <w:sz w:val="28"/>
          <w:szCs w:val="28"/>
        </w:rPr>
        <w:t>+10VDC，可带8只350欧姆的传感器</w:t>
      </w:r>
    </w:p>
    <w:p>
      <w:pPr>
        <w:rPr>
          <w:rFonts w:hint="eastAsia" w:ascii="仿宋_GB2312" w:hAnsi="微软雅黑" w:eastAsia="仿宋_GB2312"/>
          <w:sz w:val="28"/>
          <w:szCs w:val="28"/>
        </w:rPr>
      </w:pPr>
      <w:r>
        <w:rPr>
          <w:rFonts w:hint="eastAsia" w:ascii="仿宋_GB2312" w:hAnsi="微软雅黑" w:eastAsia="仿宋_GB2312"/>
          <w:sz w:val="28"/>
          <w:szCs w:val="28"/>
        </w:rPr>
        <w:t>键盘设置;</w:t>
      </w:r>
    </w:p>
    <w:p>
      <w:pPr>
        <w:rPr>
          <w:rFonts w:hint="eastAsia" w:ascii="仿宋_GB2312" w:hAnsi="微软雅黑" w:eastAsia="仿宋_GB2312"/>
          <w:sz w:val="28"/>
          <w:szCs w:val="28"/>
        </w:rPr>
      </w:pPr>
      <w:r>
        <w:rPr>
          <w:rFonts w:hint="eastAsia" w:ascii="仿宋_GB2312" w:hAnsi="微软雅黑" w:eastAsia="仿宋_GB2312"/>
          <w:sz w:val="28"/>
          <w:szCs w:val="28"/>
        </w:rPr>
        <w:t>数据或按钮输入皮重;</w:t>
      </w:r>
    </w:p>
    <w:p>
      <w:pPr>
        <w:rPr>
          <w:rFonts w:hint="eastAsia" w:ascii="仿宋_GB2312" w:hAnsi="微软雅黑" w:eastAsia="仿宋_GB2312"/>
          <w:sz w:val="28"/>
          <w:szCs w:val="28"/>
        </w:rPr>
      </w:pPr>
      <w:r>
        <w:rPr>
          <w:rFonts w:hint="eastAsia" w:ascii="仿宋_GB2312" w:hAnsi="微软雅黑" w:eastAsia="仿宋_GB2312"/>
          <w:sz w:val="28"/>
          <w:szCs w:val="28"/>
        </w:rPr>
        <w:t>动态检测范围可选;</w:t>
      </w:r>
    </w:p>
    <w:p>
      <w:pPr>
        <w:rPr>
          <w:rFonts w:hint="eastAsia" w:ascii="仿宋_GB2312" w:hAnsi="微软雅黑" w:eastAsia="仿宋_GB2312"/>
          <w:sz w:val="28"/>
          <w:szCs w:val="28"/>
        </w:rPr>
      </w:pPr>
      <w:r>
        <w:rPr>
          <w:rFonts w:hint="eastAsia" w:ascii="仿宋_GB2312" w:hAnsi="微软雅黑" w:eastAsia="仿宋_GB2312"/>
          <w:sz w:val="28"/>
          <w:szCs w:val="28"/>
        </w:rPr>
        <w:t>按钮清零范围可选;</w:t>
      </w:r>
    </w:p>
    <w:p>
      <w:pPr>
        <w:rPr>
          <w:rFonts w:hint="eastAsia" w:ascii="仿宋_GB2312" w:hAnsi="微软雅黑" w:eastAsia="仿宋_GB2312"/>
          <w:sz w:val="28"/>
          <w:szCs w:val="28"/>
        </w:rPr>
      </w:pPr>
      <w:r>
        <w:rPr>
          <w:rFonts w:hint="eastAsia" w:ascii="仿宋_GB2312" w:hAnsi="微软雅黑" w:eastAsia="仿宋_GB2312"/>
          <w:sz w:val="28"/>
          <w:szCs w:val="28"/>
        </w:rPr>
        <w:t>自动零跟踪,跟踪范围可选;</w:t>
      </w:r>
    </w:p>
    <w:p>
      <w:pPr>
        <w:rPr>
          <w:rFonts w:hint="eastAsia" w:ascii="仿宋_GB2312" w:hAnsi="微软雅黑" w:eastAsia="仿宋_GB2312"/>
          <w:sz w:val="28"/>
          <w:szCs w:val="28"/>
        </w:rPr>
      </w:pPr>
      <w:r>
        <w:rPr>
          <w:rFonts w:hint="eastAsia" w:ascii="仿宋_GB2312" w:hAnsi="微软雅黑" w:eastAsia="仿宋_GB2312"/>
          <w:sz w:val="28"/>
          <w:szCs w:val="28"/>
        </w:rPr>
        <w:t>清零、去皮、清除和打印功能</w:t>
      </w:r>
    </w:p>
    <w:p>
      <w:pPr>
        <w:rPr>
          <w:rFonts w:hint="eastAsia" w:ascii="仿宋_GB2312" w:hAnsi="微软雅黑" w:eastAsia="仿宋_GB2312"/>
          <w:sz w:val="28"/>
          <w:szCs w:val="28"/>
        </w:rPr>
      </w:pPr>
      <w:r>
        <w:rPr>
          <w:rFonts w:hint="eastAsia" w:ascii="仿宋_GB2312" w:hAnsi="微软雅黑" w:eastAsia="仿宋_GB2312"/>
          <w:sz w:val="28"/>
          <w:szCs w:val="28"/>
        </w:rPr>
        <w:t>三种操作模式：简单称重、配对称重和标准称重</w:t>
      </w:r>
    </w:p>
    <w:p>
      <w:pPr>
        <w:rPr>
          <w:rFonts w:hint="eastAsia" w:ascii="仿宋_GB2312" w:hAnsi="微软雅黑" w:eastAsia="仿宋_GB2312"/>
          <w:sz w:val="28"/>
          <w:szCs w:val="28"/>
        </w:rPr>
      </w:pPr>
      <w:r>
        <w:rPr>
          <w:rFonts w:hint="eastAsia" w:ascii="仿宋_GB2312" w:hAnsi="微软雅黑" w:eastAsia="仿宋_GB2312"/>
          <w:sz w:val="28"/>
          <w:szCs w:val="28"/>
        </w:rPr>
        <w:t>100条临时皮重表和200条永久皮重表</w:t>
      </w:r>
    </w:p>
    <w:p>
      <w:pPr>
        <w:rPr>
          <w:rFonts w:hint="eastAsia" w:ascii="仿宋_GB2312" w:hAnsi="微软雅黑" w:eastAsia="仿宋_GB2312"/>
          <w:sz w:val="28"/>
          <w:szCs w:val="28"/>
        </w:rPr>
      </w:pPr>
      <w:r>
        <w:rPr>
          <w:rFonts w:hint="eastAsia" w:ascii="仿宋_GB2312" w:hAnsi="微软雅黑" w:eastAsia="仿宋_GB2312"/>
          <w:sz w:val="28"/>
          <w:szCs w:val="28"/>
        </w:rPr>
        <w:t>99笔货号及99笔客户号的输入、存储</w:t>
      </w:r>
    </w:p>
    <w:p>
      <w:pPr>
        <w:rPr>
          <w:rFonts w:hint="eastAsia" w:ascii="仿宋_GB2312" w:hAnsi="微软雅黑" w:eastAsia="仿宋_GB2312"/>
          <w:sz w:val="28"/>
          <w:szCs w:val="28"/>
        </w:rPr>
      </w:pPr>
      <w:r>
        <w:rPr>
          <w:rFonts w:hint="eastAsia" w:ascii="仿宋_GB2312" w:hAnsi="微软雅黑" w:eastAsia="仿宋_GB2312"/>
          <w:sz w:val="28"/>
          <w:szCs w:val="28"/>
        </w:rPr>
        <w:t>按车号/货号/客户号分项累计</w:t>
      </w:r>
    </w:p>
    <w:p>
      <w:pPr>
        <w:rPr>
          <w:rFonts w:hint="eastAsia" w:ascii="仿宋_GB2312" w:hAnsi="微软雅黑" w:eastAsia="仿宋_GB2312"/>
          <w:sz w:val="28"/>
          <w:szCs w:val="28"/>
        </w:rPr>
      </w:pPr>
      <w:r>
        <w:rPr>
          <w:rFonts w:hint="eastAsia" w:ascii="仿宋_GB2312" w:hAnsi="微软雅黑" w:eastAsia="仿宋_GB2312"/>
          <w:sz w:val="28"/>
          <w:szCs w:val="28"/>
        </w:rPr>
        <w:t>4000笔交易记录保存</w:t>
      </w:r>
    </w:p>
    <w:p>
      <w:pPr>
        <w:rPr>
          <w:rFonts w:hint="eastAsia" w:ascii="仿宋_GB2312" w:hAnsi="微软雅黑" w:eastAsia="仿宋_GB2312"/>
          <w:sz w:val="28"/>
          <w:szCs w:val="28"/>
        </w:rPr>
      </w:pPr>
      <w:r>
        <w:rPr>
          <w:rFonts w:hint="eastAsia" w:ascii="仿宋_GB2312" w:hAnsi="微软雅黑" w:eastAsia="仿宋_GB2312"/>
          <w:sz w:val="28"/>
          <w:szCs w:val="28"/>
        </w:rPr>
        <w:t>打印/补打称重计量单，三种中文格式，一种英文格式及一种用户自定义格式</w:t>
      </w:r>
    </w:p>
    <w:p>
      <w:pPr>
        <w:rPr>
          <w:rFonts w:hint="eastAsia" w:ascii="仿宋_GB2312" w:hAnsi="微软雅黑" w:eastAsia="仿宋_GB2312"/>
          <w:sz w:val="28"/>
          <w:szCs w:val="28"/>
        </w:rPr>
      </w:pPr>
      <w:r>
        <w:rPr>
          <w:rFonts w:hint="eastAsia" w:ascii="仿宋_GB2312" w:hAnsi="微软雅黑" w:eastAsia="仿宋_GB2312"/>
          <w:sz w:val="28"/>
          <w:szCs w:val="28"/>
        </w:rPr>
        <w:t>数据库浏览及编辑功能</w:t>
      </w:r>
    </w:p>
    <w:p>
      <w:pPr>
        <w:rPr>
          <w:rFonts w:hint="eastAsia" w:ascii="仿宋_GB2312" w:hAnsi="微软雅黑" w:eastAsia="仿宋_GB2312"/>
          <w:sz w:val="28"/>
          <w:szCs w:val="28"/>
        </w:rPr>
      </w:pPr>
      <w:r>
        <w:rPr>
          <w:rFonts w:hint="eastAsia" w:ascii="仿宋_GB2312" w:hAnsi="微软雅黑" w:eastAsia="仿宋_GB2312"/>
          <w:sz w:val="28"/>
          <w:szCs w:val="28"/>
        </w:rPr>
        <w:t>SD存储卡支持备份和存储配置及标定数据</w:t>
      </w:r>
    </w:p>
    <w:p>
      <w:pPr>
        <w:rPr>
          <w:rFonts w:hint="eastAsia" w:ascii="仿宋_GB2312" w:hAnsi="微软雅黑" w:eastAsia="仿宋_GB2312"/>
          <w:sz w:val="28"/>
          <w:szCs w:val="28"/>
        </w:rPr>
      </w:pPr>
      <w:r>
        <w:rPr>
          <w:rFonts w:hint="eastAsia" w:ascii="仿宋_GB2312" w:hAnsi="微软雅黑" w:eastAsia="仿宋_GB2312"/>
          <w:sz w:val="28"/>
          <w:szCs w:val="28"/>
        </w:rPr>
        <w:t>串口：COM1：RS232；COM2：RS232 /RS485/20mA电流环</w:t>
      </w:r>
    </w:p>
    <w:p>
      <w:pPr>
        <w:rPr>
          <w:rFonts w:hint="eastAsia" w:ascii="仿宋_GB2312" w:hAnsi="微软雅黑" w:eastAsia="仿宋_GB2312"/>
          <w:sz w:val="28"/>
          <w:szCs w:val="28"/>
        </w:rPr>
      </w:pPr>
      <w:r>
        <w:rPr>
          <w:rFonts w:hint="eastAsia" w:ascii="仿宋_GB2312" w:hAnsi="微软雅黑" w:eastAsia="仿宋_GB2312"/>
          <w:sz w:val="28"/>
          <w:szCs w:val="28"/>
        </w:rPr>
        <w:t>使用温度范围:</w:t>
      </w:r>
      <w:r>
        <w:rPr>
          <w:rFonts w:hint="eastAsia" w:ascii="仿宋_GB2312" w:hAnsi="微软雅黑" w:eastAsia="仿宋_GB2312"/>
          <w:sz w:val="28"/>
          <w:szCs w:val="28"/>
        </w:rPr>
        <w:tab/>
      </w:r>
      <w:r>
        <w:rPr>
          <w:rFonts w:hint="eastAsia" w:ascii="仿宋_GB2312" w:hAnsi="微软雅黑" w:eastAsia="仿宋_GB2312"/>
          <w:sz w:val="28"/>
          <w:szCs w:val="28"/>
        </w:rPr>
        <w:t>-10</w:t>
      </w:r>
      <w:r>
        <w:rPr>
          <w:rFonts w:hint="eastAsia" w:ascii="仿宋_GB2312" w:hAnsi="微软雅黑" w:eastAsia="仿宋_GB2312"/>
          <w:sz w:val="28"/>
          <w:szCs w:val="28"/>
        </w:rPr>
        <w:fldChar w:fldCharType="begin"/>
      </w:r>
      <w:r>
        <w:rPr>
          <w:rFonts w:hint="eastAsia" w:ascii="仿宋_GB2312" w:hAnsi="微软雅黑" w:eastAsia="仿宋_GB2312"/>
          <w:sz w:val="28"/>
          <w:szCs w:val="28"/>
        </w:rPr>
        <w:instrText xml:space="preserve">SYMBOL 176 \f "Symbol"</w:instrText>
      </w:r>
      <w:r>
        <w:rPr>
          <w:rFonts w:ascii="仿宋_GB2312" w:hAnsi="微软雅黑" w:eastAsia="仿宋_GB2312"/>
          <w:sz w:val="28"/>
          <w:szCs w:val="28"/>
        </w:rPr>
        <w:fldChar w:fldCharType="separate"/>
      </w:r>
      <w:r>
        <w:rPr>
          <w:rFonts w:hint="eastAsia" w:ascii="仿宋_GB2312" w:hAnsi="微软雅黑" w:eastAsia="仿宋_GB2312"/>
          <w:b/>
          <w:bCs/>
          <w:sz w:val="28"/>
          <w:szCs w:val="28"/>
        </w:rPr>
        <w:t>错误！未找到引用源。</w:t>
      </w:r>
      <w:r>
        <w:rPr>
          <w:rFonts w:hint="eastAsia" w:ascii="仿宋_GB2312" w:hAnsi="微软雅黑" w:eastAsia="仿宋_GB2312"/>
          <w:sz w:val="28"/>
          <w:szCs w:val="28"/>
        </w:rPr>
        <w:fldChar w:fldCharType="end"/>
      </w:r>
      <w:r>
        <w:rPr>
          <w:rFonts w:hint="eastAsia" w:ascii="仿宋_GB2312" w:hAnsi="微软雅黑" w:eastAsia="仿宋_GB2312"/>
          <w:sz w:val="28"/>
          <w:szCs w:val="28"/>
        </w:rPr>
        <w:t>C~40</w:t>
      </w:r>
      <w:r>
        <w:rPr>
          <w:rFonts w:hint="eastAsia" w:ascii="仿宋_GB2312" w:hAnsi="微软雅黑" w:eastAsia="仿宋_GB2312"/>
          <w:sz w:val="28"/>
          <w:szCs w:val="28"/>
        </w:rPr>
        <w:fldChar w:fldCharType="begin"/>
      </w:r>
      <w:r>
        <w:rPr>
          <w:rFonts w:hint="eastAsia" w:ascii="仿宋_GB2312" w:hAnsi="微软雅黑" w:eastAsia="仿宋_GB2312"/>
          <w:sz w:val="28"/>
          <w:szCs w:val="28"/>
        </w:rPr>
        <w:instrText xml:space="preserve">SYMBOL 176 \f "Symbol"</w:instrText>
      </w:r>
      <w:r>
        <w:rPr>
          <w:rFonts w:ascii="仿宋_GB2312" w:hAnsi="微软雅黑" w:eastAsia="仿宋_GB2312"/>
          <w:sz w:val="28"/>
          <w:szCs w:val="28"/>
        </w:rPr>
        <w:fldChar w:fldCharType="separate"/>
      </w:r>
      <w:r>
        <w:rPr>
          <w:rFonts w:hint="eastAsia" w:ascii="仿宋_GB2312" w:hAnsi="微软雅黑" w:eastAsia="仿宋_GB2312"/>
          <w:b/>
          <w:bCs/>
          <w:sz w:val="28"/>
          <w:szCs w:val="28"/>
        </w:rPr>
        <w:t>错误！未找到引用源。</w:t>
      </w:r>
      <w:r>
        <w:rPr>
          <w:rFonts w:hint="eastAsia" w:ascii="仿宋_GB2312" w:hAnsi="微软雅黑" w:eastAsia="仿宋_GB2312"/>
          <w:sz w:val="28"/>
          <w:szCs w:val="28"/>
        </w:rPr>
        <w:fldChar w:fldCharType="end"/>
      </w:r>
      <w:r>
        <w:rPr>
          <w:rFonts w:hint="eastAsia" w:ascii="仿宋_GB2312" w:hAnsi="微软雅黑" w:eastAsia="仿宋_GB2312"/>
          <w:sz w:val="28"/>
          <w:szCs w:val="28"/>
        </w:rPr>
        <w:t>C</w:t>
      </w:r>
    </w:p>
    <w:p>
      <w:pPr>
        <w:rPr>
          <w:rFonts w:hint="eastAsia" w:ascii="仿宋_GB2312" w:hAnsi="微软雅黑" w:eastAsia="仿宋_GB2312"/>
          <w:sz w:val="28"/>
          <w:szCs w:val="28"/>
        </w:rPr>
      </w:pPr>
      <w:r>
        <w:rPr>
          <w:rFonts w:hint="eastAsia" w:ascii="仿宋_GB2312" w:hAnsi="微软雅黑" w:eastAsia="仿宋_GB2312"/>
          <w:sz w:val="28"/>
          <w:szCs w:val="28"/>
        </w:rPr>
        <w:t>相对湿度:</w:t>
      </w:r>
      <w:r>
        <w:rPr>
          <w:rFonts w:hint="eastAsia" w:ascii="仿宋_GB2312" w:hAnsi="微软雅黑" w:eastAsia="仿宋_GB2312"/>
          <w:sz w:val="28"/>
          <w:szCs w:val="28"/>
        </w:rPr>
        <w:tab/>
      </w:r>
      <w:r>
        <w:rPr>
          <w:rFonts w:hint="eastAsia" w:ascii="仿宋_GB2312" w:hAnsi="微软雅黑" w:eastAsia="仿宋_GB2312"/>
          <w:sz w:val="28"/>
          <w:szCs w:val="28"/>
        </w:rPr>
        <w:t>10~95%(无冷凝)</w:t>
      </w:r>
    </w:p>
    <w:p>
      <w:pPr>
        <w:rPr>
          <w:rFonts w:hint="eastAsia" w:ascii="仿宋_GB2312" w:hAnsi="微软雅黑" w:eastAsia="仿宋_GB2312"/>
          <w:sz w:val="28"/>
          <w:szCs w:val="28"/>
        </w:rPr>
      </w:pPr>
      <w:r>
        <w:rPr>
          <w:rFonts w:hint="eastAsia" w:ascii="仿宋_GB2312" w:hAnsi="微软雅黑" w:eastAsia="仿宋_GB2312"/>
          <w:sz w:val="28"/>
          <w:szCs w:val="28"/>
        </w:rPr>
        <w:t>电源:</w:t>
      </w:r>
      <w:r>
        <w:rPr>
          <w:rFonts w:hint="eastAsia" w:ascii="仿宋_GB2312" w:hAnsi="微软雅黑" w:eastAsia="仿宋_GB2312"/>
          <w:sz w:val="28"/>
          <w:szCs w:val="28"/>
        </w:rPr>
        <w:tab/>
      </w:r>
      <w:r>
        <w:rPr>
          <w:rFonts w:hint="eastAsia" w:ascii="仿宋_GB2312" w:hAnsi="微软雅黑" w:eastAsia="仿宋_GB2312"/>
          <w:sz w:val="28"/>
          <w:szCs w:val="28"/>
        </w:rPr>
        <w:t>100~242vAC,49~61Hz</w:t>
      </w:r>
    </w:p>
    <w:p>
      <w:pPr>
        <w:rPr>
          <w:rFonts w:hint="eastAsia" w:ascii="仿宋_GB2312" w:hAnsi="微软雅黑" w:eastAsia="仿宋_GB2312"/>
          <w:sz w:val="28"/>
          <w:szCs w:val="28"/>
        </w:rPr>
      </w:pPr>
      <w:r>
        <w:rPr>
          <w:rFonts w:hint="eastAsia" w:ascii="仿宋_GB2312" w:hAnsi="微软雅黑" w:eastAsia="仿宋_GB2312"/>
          <w:sz w:val="28"/>
          <w:szCs w:val="28"/>
        </w:rPr>
        <w:t>功率:</w:t>
      </w:r>
      <w:r>
        <w:rPr>
          <w:rFonts w:hint="eastAsia" w:ascii="仿宋_GB2312" w:hAnsi="微软雅黑" w:eastAsia="仿宋_GB2312"/>
          <w:sz w:val="28"/>
          <w:szCs w:val="28"/>
        </w:rPr>
        <w:tab/>
      </w:r>
      <w:r>
        <w:rPr>
          <w:rFonts w:hint="eastAsia" w:ascii="仿宋_GB2312" w:hAnsi="微软雅黑" w:eastAsia="仿宋_GB2312"/>
          <w:sz w:val="28"/>
          <w:szCs w:val="28"/>
        </w:rPr>
        <w:fldChar w:fldCharType="begin"/>
      </w:r>
      <w:r>
        <w:rPr>
          <w:rFonts w:hint="eastAsia" w:ascii="仿宋_GB2312" w:hAnsi="微软雅黑" w:eastAsia="仿宋_GB2312"/>
          <w:sz w:val="28"/>
          <w:szCs w:val="28"/>
        </w:rPr>
        <w:instrText xml:space="preserve">SYMBOL 163 \f "Symbol"</w:instrText>
      </w:r>
      <w:r>
        <w:rPr>
          <w:rFonts w:ascii="仿宋_GB2312" w:hAnsi="微软雅黑" w:eastAsia="仿宋_GB2312"/>
          <w:sz w:val="28"/>
          <w:szCs w:val="28"/>
        </w:rPr>
        <w:fldChar w:fldCharType="separate"/>
      </w:r>
      <w:r>
        <w:rPr>
          <w:rFonts w:hint="eastAsia" w:ascii="仿宋_GB2312" w:hAnsi="微软雅黑" w:eastAsia="仿宋_GB2312"/>
          <w:b/>
          <w:bCs/>
          <w:sz w:val="28"/>
          <w:szCs w:val="28"/>
        </w:rPr>
        <w:t>错误！未找到引用源。</w:t>
      </w:r>
      <w:r>
        <w:rPr>
          <w:rFonts w:hint="eastAsia" w:ascii="仿宋_GB2312" w:hAnsi="微软雅黑" w:eastAsia="仿宋_GB2312"/>
          <w:sz w:val="28"/>
          <w:szCs w:val="28"/>
        </w:rPr>
        <w:fldChar w:fldCharType="end"/>
      </w:r>
      <w:r>
        <w:rPr>
          <w:rFonts w:hint="eastAsia" w:ascii="仿宋_GB2312" w:hAnsi="微软雅黑" w:eastAsia="仿宋_GB2312"/>
          <w:sz w:val="28"/>
          <w:szCs w:val="28"/>
        </w:rPr>
        <w:t>8W</w:t>
      </w:r>
    </w:p>
    <w:p>
      <w:pPr>
        <w:pStyle w:val="10"/>
        <w:jc w:val="left"/>
        <w:rPr>
          <w:rFonts w:hint="eastAsia" w:ascii="仿宋_GB2312" w:hAnsi="微软雅黑" w:eastAsia="仿宋_GB2312"/>
        </w:rPr>
      </w:pPr>
      <w:bookmarkStart w:id="112" w:name="_Toc31808"/>
      <w:r>
        <w:rPr>
          <w:rFonts w:hint="eastAsia" w:ascii="仿宋_GB2312" w:hAnsi="微软雅黑" w:eastAsia="仿宋_GB2312"/>
        </w:rPr>
        <w:t>LQ-300K+Ⅱ称重打印机技术指标和功能（选购件）</w:t>
      </w:r>
      <w:bookmarkEnd w:id="112"/>
    </w:p>
    <w:p>
      <w:pPr>
        <w:rPr>
          <w:rFonts w:hint="eastAsia" w:ascii="仿宋_GB2312" w:hAnsi="微软雅黑" w:eastAsia="仿宋_GB2312"/>
        </w:rPr>
      </w:pPr>
      <w:r>
        <w:rPr>
          <w:rFonts w:hint="eastAsia" w:ascii="仿宋_GB2312" w:hAnsi="微软雅黑" w:eastAsia="仿宋_GB2312"/>
        </w:rPr>
        <w:tab/>
      </w:r>
      <w:r>
        <w:rPr>
          <w:rFonts w:hint="eastAsia" w:ascii="仿宋_GB2312" w:hAnsi="微软雅黑" w:eastAsia="仿宋_GB2312"/>
        </w:rPr>
        <w:t>型号:                 LQ-300K+Ⅱ称重打印机</w:t>
      </w:r>
    </w:p>
    <w:p>
      <w:pPr>
        <w:rPr>
          <w:rFonts w:hint="eastAsia" w:ascii="仿宋_GB2312" w:hAnsi="微软雅黑" w:eastAsia="仿宋_GB2312"/>
        </w:rPr>
      </w:pPr>
      <w:r>
        <w:rPr>
          <w:rFonts w:hint="eastAsia" w:ascii="仿宋_GB2312" w:hAnsi="微软雅黑" w:eastAsia="仿宋_GB2312"/>
        </w:rPr>
        <w:tab/>
      </w:r>
      <w:r>
        <w:rPr>
          <w:rFonts w:hint="eastAsia" w:ascii="仿宋_GB2312" w:hAnsi="微软雅黑" w:eastAsia="仿宋_GB2312"/>
        </w:rPr>
        <w:t>外形尺寸:</w:t>
      </w:r>
      <w:r>
        <w:rPr>
          <w:rFonts w:hint="eastAsia" w:ascii="仿宋_GB2312" w:hAnsi="微软雅黑" w:eastAsia="仿宋_GB2312"/>
        </w:rPr>
        <w:tab/>
      </w:r>
      <w:r>
        <w:rPr>
          <w:rFonts w:hint="eastAsia" w:ascii="仿宋_GB2312" w:hAnsi="微软雅黑" w:eastAsia="仿宋_GB2312"/>
        </w:rPr>
        <w:t xml:space="preserve">           400</w:t>
      </w:r>
      <w:r>
        <w:rPr>
          <w:rFonts w:hint="eastAsia" w:ascii="仿宋_GB2312" w:hAnsi="微软雅黑" w:eastAsia="仿宋_GB2312"/>
        </w:rPr>
        <w:sym w:font="Symbol" w:char="F0B4"/>
      </w:r>
      <w:r>
        <w:rPr>
          <w:rFonts w:hint="eastAsia" w:ascii="仿宋_GB2312" w:hAnsi="微软雅黑" w:eastAsia="仿宋_GB2312"/>
        </w:rPr>
        <w:t>300</w:t>
      </w:r>
      <w:r>
        <w:rPr>
          <w:rFonts w:hint="eastAsia" w:ascii="仿宋_GB2312" w:hAnsi="微软雅黑" w:eastAsia="仿宋_GB2312"/>
        </w:rPr>
        <w:sym w:font="Symbol" w:char="F0B4"/>
      </w:r>
      <w:r>
        <w:rPr>
          <w:rFonts w:hint="eastAsia" w:ascii="仿宋_GB2312" w:hAnsi="微软雅黑" w:eastAsia="仿宋_GB2312"/>
        </w:rPr>
        <w:t xml:space="preserve">90(mm)                 </w:t>
      </w:r>
    </w:p>
    <w:p>
      <w:pPr>
        <w:rPr>
          <w:rFonts w:hint="eastAsia" w:ascii="仿宋_GB2312" w:hAnsi="微软雅黑" w:eastAsia="仿宋_GB2312"/>
        </w:rPr>
      </w:pPr>
      <w:r>
        <w:rPr>
          <w:rFonts w:hint="eastAsia" w:ascii="仿宋_GB2312" w:hAnsi="微软雅黑" w:eastAsia="仿宋_GB2312"/>
        </w:rPr>
        <w:tab/>
      </w:r>
      <w:r>
        <w:rPr>
          <w:rFonts w:hint="eastAsia" w:ascii="仿宋_GB2312" w:hAnsi="微软雅黑" w:eastAsia="仿宋_GB2312"/>
        </w:rPr>
        <w:t>打印方式             24针点击式</w:t>
      </w:r>
    </w:p>
    <w:p>
      <w:pPr>
        <w:rPr>
          <w:rFonts w:hint="eastAsia" w:ascii="仿宋_GB2312" w:hAnsi="微软雅黑" w:eastAsia="仿宋_GB2312"/>
        </w:rPr>
      </w:pPr>
      <w:r>
        <w:rPr>
          <w:rFonts w:hint="eastAsia" w:ascii="仿宋_GB2312" w:hAnsi="微软雅黑" w:eastAsia="仿宋_GB2312"/>
        </w:rPr>
        <w:tab/>
      </w:r>
      <w:r>
        <w:rPr>
          <w:rFonts w:hint="eastAsia" w:ascii="仿宋_GB2312" w:hAnsi="微软雅黑" w:eastAsia="仿宋_GB2312"/>
        </w:rPr>
        <w:t>打印速度:</w:t>
      </w:r>
      <w:r>
        <w:rPr>
          <w:rFonts w:hint="eastAsia" w:ascii="仿宋_GB2312" w:hAnsi="微软雅黑" w:eastAsia="仿宋_GB2312"/>
        </w:rPr>
        <w:tab/>
      </w:r>
      <w:r>
        <w:rPr>
          <w:rFonts w:hint="eastAsia" w:ascii="仿宋_GB2312" w:hAnsi="微软雅黑" w:eastAsia="仿宋_GB2312"/>
        </w:rPr>
        <w:t xml:space="preserve">           83字/秒（正常）333字/秒（超高速）</w:t>
      </w:r>
    </w:p>
    <w:p>
      <w:pPr>
        <w:rPr>
          <w:rFonts w:hint="eastAsia" w:ascii="仿宋_GB2312" w:hAnsi="微软雅黑" w:eastAsia="仿宋_GB2312"/>
        </w:rPr>
      </w:pPr>
      <w:r>
        <w:rPr>
          <w:rFonts w:hint="eastAsia" w:ascii="仿宋_GB2312" w:hAnsi="微软雅黑" w:eastAsia="仿宋_GB2312"/>
        </w:rPr>
        <w:t xml:space="preserve">   字符集:               中文GB18030-2000</w:t>
      </w:r>
    </w:p>
    <w:p>
      <w:pPr>
        <w:rPr>
          <w:rFonts w:hint="eastAsia" w:ascii="仿宋_GB2312" w:hAnsi="微软雅黑" w:eastAsia="仿宋_GB2312"/>
        </w:rPr>
      </w:pPr>
      <w:r>
        <w:rPr>
          <w:rFonts w:hint="eastAsia" w:ascii="仿宋_GB2312" w:hAnsi="微软雅黑" w:eastAsia="仿宋_GB2312"/>
        </w:rPr>
        <w:t xml:space="preserve">   字体:                 中文宋体、黑体</w:t>
      </w:r>
    </w:p>
    <w:p>
      <w:pPr>
        <w:rPr>
          <w:rFonts w:hint="eastAsia" w:ascii="仿宋_GB2312" w:hAnsi="微软雅黑" w:eastAsia="仿宋_GB2312"/>
        </w:rPr>
      </w:pPr>
      <w:r>
        <w:rPr>
          <w:rFonts w:hint="eastAsia" w:ascii="仿宋_GB2312" w:hAnsi="微软雅黑" w:eastAsia="仿宋_GB2312"/>
        </w:rPr>
        <w:t xml:space="preserve">   纸张规格：           连续纸宽度：76.2～254mm</w:t>
      </w:r>
    </w:p>
    <w:p>
      <w:pPr>
        <w:rPr>
          <w:rFonts w:hint="eastAsia" w:ascii="仿宋_GB2312" w:hAnsi="微软雅黑" w:eastAsia="仿宋_GB2312"/>
        </w:rPr>
      </w:pPr>
      <w:r>
        <w:rPr>
          <w:rFonts w:hint="eastAsia" w:ascii="仿宋_GB2312" w:hAnsi="微软雅黑" w:eastAsia="仿宋_GB2312"/>
        </w:rPr>
        <w:t xml:space="preserve">                        单页纸宽度:100～257mm</w:t>
      </w:r>
    </w:p>
    <w:p>
      <w:pPr>
        <w:rPr>
          <w:rFonts w:hint="eastAsia" w:ascii="仿宋_GB2312" w:hAnsi="微软雅黑" w:eastAsia="仿宋_GB2312"/>
        </w:rPr>
      </w:pPr>
      <w:r>
        <w:rPr>
          <w:rFonts w:hint="eastAsia" w:ascii="仿宋_GB2312" w:hAnsi="微软雅黑" w:eastAsia="仿宋_GB2312"/>
        </w:rPr>
        <w:t xml:space="preserve">                        纸张厚度:0.05～0.44mm</w:t>
      </w:r>
    </w:p>
    <w:p>
      <w:pPr>
        <w:rPr>
          <w:rFonts w:hint="eastAsia" w:ascii="仿宋_GB2312" w:hAnsi="微软雅黑" w:eastAsia="仿宋_GB2312"/>
        </w:rPr>
      </w:pPr>
      <w:r>
        <w:rPr>
          <w:rFonts w:hint="eastAsia" w:ascii="仿宋_GB2312" w:hAnsi="微软雅黑" w:eastAsia="仿宋_GB2312"/>
        </w:rPr>
        <w:t xml:space="preserve">   复写能力:            1+4层</w:t>
      </w:r>
    </w:p>
    <w:p>
      <w:pPr>
        <w:rPr>
          <w:rFonts w:hint="eastAsia" w:ascii="仿宋_GB2312" w:hAnsi="微软雅黑" w:eastAsia="仿宋_GB2312"/>
        </w:rPr>
      </w:pPr>
      <w:r>
        <w:rPr>
          <w:rFonts w:hint="eastAsia" w:ascii="仿宋_GB2312" w:hAnsi="微软雅黑" w:eastAsia="仿宋_GB2312"/>
        </w:rPr>
        <w:t xml:space="preserve">   接收缓冲区:          64K</w:t>
      </w:r>
    </w:p>
    <w:p>
      <w:pPr>
        <w:rPr>
          <w:rFonts w:hint="eastAsia" w:ascii="仿宋_GB2312" w:hAnsi="微软雅黑" w:eastAsia="仿宋_GB2312"/>
        </w:rPr>
      </w:pPr>
      <w:r>
        <w:rPr>
          <w:rFonts w:hint="eastAsia" w:ascii="仿宋_GB2312" w:hAnsi="微软雅黑" w:eastAsia="仿宋_GB2312"/>
        </w:rPr>
        <w:tab/>
      </w:r>
      <w:r>
        <w:rPr>
          <w:rFonts w:hint="eastAsia" w:ascii="仿宋_GB2312" w:hAnsi="微软雅黑" w:eastAsia="仿宋_GB2312"/>
        </w:rPr>
        <w:t>打印头寿命:          4亿次/针</w:t>
      </w:r>
    </w:p>
    <w:p>
      <w:pPr>
        <w:rPr>
          <w:rFonts w:hint="eastAsia" w:ascii="仿宋_GB2312" w:hAnsi="微软雅黑" w:eastAsia="仿宋_GB2312"/>
        </w:rPr>
      </w:pPr>
      <w:r>
        <w:rPr>
          <w:rFonts w:hint="eastAsia" w:ascii="仿宋_GB2312" w:hAnsi="微软雅黑" w:eastAsia="仿宋_GB2312"/>
        </w:rPr>
        <w:tab/>
      </w:r>
      <w:r>
        <w:rPr>
          <w:rFonts w:hint="eastAsia" w:ascii="仿宋_GB2312" w:hAnsi="微软雅黑" w:eastAsia="仿宋_GB2312"/>
        </w:rPr>
        <w:t>接口:                IEEE1284标准并行接口，USB2.0标准接口,RS232串口</w:t>
      </w:r>
    </w:p>
    <w:p>
      <w:pPr>
        <w:rPr>
          <w:rFonts w:hint="eastAsia" w:ascii="仿宋_GB2312" w:hAnsi="微软雅黑" w:eastAsia="仿宋_GB2312"/>
        </w:rPr>
      </w:pPr>
      <w:r>
        <w:rPr>
          <w:rFonts w:hint="eastAsia" w:ascii="仿宋_GB2312" w:hAnsi="微软雅黑" w:eastAsia="仿宋_GB2312"/>
        </w:rPr>
        <w:tab/>
      </w:r>
      <w:r>
        <w:rPr>
          <w:rFonts w:hint="eastAsia" w:ascii="仿宋_GB2312" w:hAnsi="微软雅黑" w:eastAsia="仿宋_GB2312"/>
        </w:rPr>
        <w:t>工作温度范围:        5</w:t>
      </w:r>
      <w:r>
        <w:rPr>
          <w:rFonts w:hint="eastAsia" w:ascii="仿宋_GB2312" w:hAnsi="微软雅黑" w:eastAsia="仿宋_GB2312"/>
        </w:rPr>
        <w:sym w:font="Symbol" w:char="F0B0"/>
      </w:r>
      <w:r>
        <w:rPr>
          <w:rFonts w:hint="eastAsia" w:ascii="仿宋_GB2312" w:hAnsi="微软雅黑" w:eastAsia="仿宋_GB2312"/>
        </w:rPr>
        <w:t>C～35</w:t>
      </w:r>
      <w:r>
        <w:rPr>
          <w:rFonts w:hint="eastAsia" w:ascii="仿宋_GB2312" w:hAnsi="微软雅黑" w:eastAsia="仿宋_GB2312"/>
        </w:rPr>
        <w:sym w:font="Symbol" w:char="F0B0"/>
      </w:r>
      <w:r>
        <w:rPr>
          <w:rFonts w:hint="eastAsia" w:ascii="仿宋_GB2312" w:hAnsi="微软雅黑" w:eastAsia="仿宋_GB2312"/>
        </w:rPr>
        <w:t>C</w:t>
      </w:r>
    </w:p>
    <w:p>
      <w:pPr>
        <w:rPr>
          <w:rFonts w:hint="eastAsia" w:ascii="仿宋_GB2312" w:hAnsi="微软雅黑" w:eastAsia="仿宋_GB2312"/>
        </w:rPr>
      </w:pPr>
      <w:r>
        <w:rPr>
          <w:rFonts w:hint="eastAsia" w:ascii="仿宋_GB2312" w:hAnsi="微软雅黑" w:eastAsia="仿宋_GB2312"/>
        </w:rPr>
        <w:tab/>
      </w:r>
      <w:r>
        <w:rPr>
          <w:rFonts w:hint="eastAsia" w:ascii="仿宋_GB2312" w:hAnsi="微软雅黑" w:eastAsia="仿宋_GB2312"/>
        </w:rPr>
        <w:t>数据格式：          通常、特殊命令和TOLEDO连续格式</w:t>
      </w:r>
    </w:p>
    <w:p>
      <w:pPr>
        <w:tabs>
          <w:tab w:val="left" w:pos="450"/>
          <w:tab w:val="left" w:pos="8280"/>
        </w:tabs>
        <w:spacing w:line="360" w:lineRule="auto"/>
        <w:jc w:val="center"/>
        <w:rPr>
          <w:rFonts w:hint="eastAsia"/>
          <w:sz w:val="44"/>
          <w:szCs w:val="44"/>
        </w:rPr>
      </w:pPr>
    </w:p>
    <w:p>
      <w:pPr>
        <w:tabs>
          <w:tab w:val="left" w:pos="450"/>
          <w:tab w:val="left" w:pos="8280"/>
        </w:tabs>
        <w:spacing w:line="360" w:lineRule="auto"/>
        <w:jc w:val="center"/>
        <w:rPr>
          <w:rFonts w:hint="eastAsia"/>
          <w:sz w:val="44"/>
          <w:szCs w:val="44"/>
        </w:rPr>
      </w:pPr>
    </w:p>
    <w:p>
      <w:pPr>
        <w:tabs>
          <w:tab w:val="left" w:pos="450"/>
          <w:tab w:val="left" w:pos="8280"/>
        </w:tabs>
        <w:spacing w:line="360" w:lineRule="auto"/>
        <w:jc w:val="center"/>
        <w:rPr>
          <w:rFonts w:hint="eastAsia"/>
          <w:sz w:val="44"/>
          <w:szCs w:val="44"/>
        </w:rPr>
      </w:pPr>
    </w:p>
    <w:p>
      <w:pPr>
        <w:pStyle w:val="10"/>
        <w:rPr>
          <w:sz w:val="30"/>
          <w:szCs w:val="30"/>
        </w:rPr>
      </w:pPr>
      <w:bookmarkStart w:id="113" w:name="_Toc22504"/>
      <w:bookmarkStart w:id="114" w:name="_Toc304945644"/>
      <w:r>
        <w:rPr>
          <w:rFonts w:hint="eastAsia" w:ascii="仿宋_GB2312" w:hAnsi="微软雅黑" w:eastAsia="仿宋_GB2312"/>
        </w:rPr>
        <w:t>五、X光机分拣线-智能安检分拣线技术方案</w:t>
      </w:r>
      <w:bookmarkEnd w:id="113"/>
    </w:p>
    <w:bookmarkEnd w:id="114"/>
    <w:p>
      <w:pPr>
        <w:pStyle w:val="3"/>
        <w:numPr>
          <w:ilvl w:val="0"/>
          <w:numId w:val="0"/>
        </w:numPr>
        <w:ind w:left="180"/>
        <w:rPr>
          <w:rFonts w:ascii="宋体" w:hAnsi="宋体" w:eastAsia="宋体"/>
          <w:sz w:val="28"/>
          <w:szCs w:val="28"/>
        </w:rPr>
      </w:pPr>
      <w:bookmarkStart w:id="115" w:name="_Toc457880669"/>
      <w:bookmarkStart w:id="116" w:name="_Toc304945651"/>
      <w:bookmarkStart w:id="117" w:name="_Toc424999154"/>
      <w:bookmarkStart w:id="118" w:name="_Toc31432"/>
      <w:r>
        <w:rPr>
          <w:rFonts w:hint="eastAsia" w:ascii="仿宋_GB2312" w:hAnsi="微软雅黑" w:eastAsia="仿宋_GB2312"/>
        </w:rPr>
        <w:t>货物监管集中查验系统功能概述</w:t>
      </w:r>
      <w:bookmarkEnd w:id="115"/>
      <w:bookmarkEnd w:id="116"/>
      <w:bookmarkEnd w:id="117"/>
      <w:bookmarkEnd w:id="118"/>
    </w:p>
    <w:p>
      <w:pPr>
        <w:pStyle w:val="20"/>
        <w:ind w:firstLine="480"/>
        <w:rPr>
          <w:rFonts w:ascii="宋体" w:hAnsi="宋体" w:eastAsia="宋体"/>
          <w:szCs w:val="24"/>
        </w:rPr>
      </w:pPr>
      <w:r>
        <w:rPr>
          <w:rFonts w:hint="eastAsia" w:ascii="宋体" w:hAnsi="宋体" w:eastAsia="宋体"/>
          <w:szCs w:val="24"/>
        </w:rPr>
        <w:t>货物监管集中查验系统是开展跨境电商业务的场所在监管部门严密监管的前提下，实现跨境电商物品自动分拣作业，以及通关物品检查的自动化控制和信息化管理。系统有效的提高了查验质量和查验速度，并降低了劳动强度。</w:t>
      </w:r>
    </w:p>
    <w:p>
      <w:pPr>
        <w:pStyle w:val="20"/>
        <w:ind w:firstLine="480"/>
        <w:rPr>
          <w:rFonts w:ascii="宋体" w:hAnsi="宋体" w:eastAsia="宋体"/>
          <w:szCs w:val="24"/>
        </w:rPr>
      </w:pPr>
      <w:r>
        <w:rPr>
          <w:rFonts w:hint="eastAsia" w:ascii="宋体" w:hAnsi="宋体" w:eastAsia="宋体"/>
          <w:szCs w:val="24"/>
        </w:rPr>
        <w:t>货物监管集中查验系统的设置，兼顾海关的监管要求、企业的运作要求和长远发展，遵循整体架构科学，灵活性、针对性、弹性强，再扩展容易的原则，要求技术先进，选型配置经济实用，运行稳定安全可靠，操作维护简便，以人性化设计实施。</w:t>
      </w:r>
    </w:p>
    <w:p>
      <w:pPr>
        <w:spacing w:line="360" w:lineRule="auto"/>
        <w:ind w:firstLine="420" w:firstLineChars="200"/>
        <w:jc w:val="left"/>
      </w:pPr>
      <w:r>
        <w:rPr>
          <w:rFonts w:hint="eastAsia"/>
        </w:rPr>
        <w:t>该系统能实现查验和分拣的“最优化自动控制、网络化信息管理”要求，满足“封闭式集中监管、便捷式快速通关”的需求，达到国内先进水平。</w:t>
      </w:r>
    </w:p>
    <w:p>
      <w:pPr>
        <w:spacing w:line="360" w:lineRule="auto"/>
        <w:ind w:firstLine="420"/>
        <w:jc w:val="left"/>
      </w:pPr>
      <w:r>
        <w:rPr>
          <w:rFonts w:hint="eastAsia"/>
        </w:rPr>
        <w:t>与传统快件查验方法（X光检查设备机检与人工查验）相比，快件自动查验系统主要具有以下技术特点和优势：</w:t>
      </w:r>
    </w:p>
    <w:p>
      <w:pPr>
        <w:numPr>
          <w:ilvl w:val="0"/>
          <w:numId w:val="13"/>
        </w:numPr>
        <w:spacing w:line="360" w:lineRule="auto"/>
        <w:ind w:left="826" w:hanging="346"/>
        <w:jc w:val="left"/>
      </w:pPr>
      <w:r>
        <w:rPr>
          <w:rFonts w:hint="eastAsia"/>
        </w:rPr>
        <w:t>实现X光图像与EDI报关/报检信息同屏对比，能够提升查验效能；</w:t>
      </w:r>
    </w:p>
    <w:p>
      <w:pPr>
        <w:numPr>
          <w:ilvl w:val="0"/>
          <w:numId w:val="13"/>
        </w:numPr>
        <w:spacing w:line="360" w:lineRule="auto"/>
        <w:ind w:left="826" w:hanging="346"/>
        <w:jc w:val="left"/>
      </w:pPr>
      <w:r>
        <w:rPr>
          <w:rFonts w:hint="eastAsia"/>
        </w:rPr>
        <w:t>可根据用户需求，灵活配置X光机操作员工作站和流水线监管关系，以提高系统通过率和管理水平；</w:t>
      </w:r>
    </w:p>
    <w:p>
      <w:pPr>
        <w:numPr>
          <w:ilvl w:val="0"/>
          <w:numId w:val="13"/>
        </w:numPr>
        <w:spacing w:line="360" w:lineRule="auto"/>
        <w:ind w:left="826" w:hanging="346"/>
        <w:jc w:val="left"/>
      </w:pPr>
      <w:r>
        <w:rPr>
          <w:rFonts w:hint="eastAsia"/>
        </w:rPr>
        <w:t>具有动态称重等功能模块选项，能够丰富查验平台功能；</w:t>
      </w:r>
    </w:p>
    <w:p>
      <w:pPr>
        <w:numPr>
          <w:ilvl w:val="0"/>
          <w:numId w:val="13"/>
        </w:numPr>
        <w:spacing w:line="360" w:lineRule="auto"/>
        <w:ind w:left="826" w:hanging="346"/>
        <w:jc w:val="left"/>
      </w:pPr>
      <w:r>
        <w:rPr>
          <w:rFonts w:hint="eastAsia"/>
        </w:rPr>
        <w:t>具有快件查验结果反馈功能，能够完善快件通关管理功能；</w:t>
      </w:r>
    </w:p>
    <w:p>
      <w:pPr>
        <w:numPr>
          <w:ilvl w:val="0"/>
          <w:numId w:val="13"/>
        </w:numPr>
        <w:spacing w:line="360" w:lineRule="auto"/>
        <w:ind w:left="826" w:hanging="346"/>
        <w:jc w:val="left"/>
      </w:pPr>
      <w:r>
        <w:rPr>
          <w:rFonts w:hint="eastAsia"/>
        </w:rPr>
        <w:t>提高快件布控查验自动化水平，引入报关/报检单审单验放指令信息，能够加强快件查验预警功能；</w:t>
      </w:r>
    </w:p>
    <w:p>
      <w:pPr>
        <w:numPr>
          <w:ilvl w:val="0"/>
          <w:numId w:val="13"/>
        </w:numPr>
        <w:spacing w:line="360" w:lineRule="auto"/>
        <w:ind w:left="826" w:hanging="346"/>
        <w:jc w:val="left"/>
      </w:pPr>
      <w:r>
        <w:rPr>
          <w:rFonts w:hint="eastAsia"/>
        </w:rPr>
        <w:t>配套条码扫描录入和自动输送分拣流水线平台，能够提高快件查验自动化水平，并提高快件通关效率；</w:t>
      </w:r>
    </w:p>
    <w:p>
      <w:pPr>
        <w:numPr>
          <w:ilvl w:val="0"/>
          <w:numId w:val="13"/>
        </w:numPr>
        <w:spacing w:line="360" w:lineRule="auto"/>
        <w:ind w:left="826" w:hanging="346"/>
        <w:jc w:val="left"/>
      </w:pPr>
      <w:r>
        <w:rPr>
          <w:rFonts w:hint="eastAsia"/>
        </w:rPr>
        <w:t>实现报关/报检单信息和X光图像等相关数据集成和统一存档管理，方便快件查验数据检索和统计分析。</w:t>
      </w:r>
    </w:p>
    <w:p>
      <w:pPr>
        <w:pStyle w:val="3"/>
        <w:numPr>
          <w:ilvl w:val="0"/>
          <w:numId w:val="0"/>
        </w:numPr>
        <w:ind w:left="180"/>
        <w:rPr>
          <w:rFonts w:ascii="宋体" w:hAnsi="宋体" w:eastAsia="宋体"/>
        </w:rPr>
      </w:pPr>
      <w:bookmarkStart w:id="119" w:name="_Toc424999155"/>
      <w:bookmarkStart w:id="120" w:name="_Toc457880670"/>
      <w:bookmarkStart w:id="121" w:name="_Toc29972"/>
      <w:r>
        <w:rPr>
          <w:rFonts w:hint="eastAsia" w:ascii="宋体" w:hAnsi="宋体" w:eastAsia="宋体"/>
        </w:rPr>
        <w:t xml:space="preserve"> 规范和标准</w:t>
      </w:r>
      <w:bookmarkEnd w:id="119"/>
      <w:bookmarkEnd w:id="120"/>
      <w:bookmarkEnd w:id="121"/>
    </w:p>
    <w:p>
      <w:pPr>
        <w:spacing w:line="440" w:lineRule="exact"/>
      </w:pPr>
      <w:r>
        <w:rPr>
          <w:rFonts w:hint="eastAsia"/>
        </w:rPr>
        <w:t>货物监管集中查验系统遵守以下规范和标准设计：</w:t>
      </w:r>
    </w:p>
    <w:p>
      <w:pPr>
        <w:numPr>
          <w:ilvl w:val="0"/>
          <w:numId w:val="13"/>
        </w:numPr>
        <w:spacing w:line="440" w:lineRule="exact"/>
      </w:pPr>
      <w:r>
        <w:rPr>
          <w:rFonts w:hint="eastAsia"/>
        </w:rPr>
        <w:t xml:space="preserve">GB       </w:t>
      </w:r>
      <w:r>
        <w:rPr>
          <w:rFonts w:hint="eastAsia"/>
        </w:rPr>
        <w:tab/>
      </w:r>
      <w:r>
        <w:rPr>
          <w:rFonts w:hint="eastAsia"/>
        </w:rPr>
        <w:t xml:space="preserve">   　   中国国家标准</w:t>
      </w:r>
    </w:p>
    <w:p>
      <w:pPr>
        <w:numPr>
          <w:ilvl w:val="0"/>
          <w:numId w:val="13"/>
        </w:numPr>
        <w:spacing w:line="440" w:lineRule="exact"/>
      </w:pPr>
      <w:r>
        <w:rPr>
          <w:rFonts w:hint="eastAsia"/>
        </w:rPr>
        <w:t>JB-T7012-93   　    辊子输送机行业标准</w:t>
      </w:r>
    </w:p>
    <w:p>
      <w:pPr>
        <w:numPr>
          <w:ilvl w:val="0"/>
          <w:numId w:val="13"/>
        </w:numPr>
        <w:spacing w:line="440" w:lineRule="exact"/>
      </w:pPr>
      <w:r>
        <w:rPr>
          <w:rFonts w:hint="eastAsia"/>
        </w:rPr>
        <w:t>JB-T3927-1999    　 带式输送机行业标准</w:t>
      </w:r>
    </w:p>
    <w:p>
      <w:pPr>
        <w:numPr>
          <w:ilvl w:val="0"/>
          <w:numId w:val="13"/>
        </w:numPr>
        <w:spacing w:line="440" w:lineRule="exact"/>
      </w:pPr>
      <w:r>
        <w:rPr>
          <w:rFonts w:hint="eastAsia"/>
        </w:rPr>
        <w:t>HG/J 20573-95 　    分散型控制系统工程设计规定</w:t>
      </w:r>
    </w:p>
    <w:p>
      <w:pPr>
        <w:numPr>
          <w:ilvl w:val="0"/>
          <w:numId w:val="13"/>
        </w:numPr>
        <w:spacing w:line="440" w:lineRule="exact"/>
      </w:pPr>
      <w:r>
        <w:rPr>
          <w:rFonts w:hint="eastAsia"/>
        </w:rPr>
        <w:t>GBJ93—86</w:t>
      </w:r>
      <w:r>
        <w:rPr>
          <w:rFonts w:hint="eastAsia"/>
        </w:rPr>
        <w:tab/>
      </w:r>
      <w:r>
        <w:rPr>
          <w:rFonts w:hint="eastAsia"/>
        </w:rPr>
        <w:t xml:space="preserve">  　    工业自动化仪表工程施工及验收规定</w:t>
      </w:r>
    </w:p>
    <w:p>
      <w:pPr>
        <w:numPr>
          <w:ilvl w:val="0"/>
          <w:numId w:val="13"/>
        </w:numPr>
        <w:spacing w:line="440" w:lineRule="exact"/>
      </w:pPr>
      <w:r>
        <w:rPr>
          <w:rFonts w:hint="eastAsia"/>
        </w:rPr>
        <w:t>GBJ131—90</w:t>
      </w:r>
      <w:r>
        <w:rPr>
          <w:rFonts w:hint="eastAsia"/>
        </w:rPr>
        <w:tab/>
      </w:r>
      <w:r>
        <w:rPr>
          <w:rFonts w:hint="eastAsia"/>
        </w:rPr>
        <w:t xml:space="preserve">      　自动化仪表安装工程质量检验评定标准</w:t>
      </w:r>
    </w:p>
    <w:p>
      <w:pPr>
        <w:numPr>
          <w:ilvl w:val="0"/>
          <w:numId w:val="13"/>
        </w:numPr>
        <w:spacing w:line="440" w:lineRule="exact"/>
      </w:pPr>
      <w:r>
        <w:rPr>
          <w:rFonts w:hint="eastAsia"/>
        </w:rPr>
        <w:t>GB50252—94</w:t>
      </w:r>
      <w:r>
        <w:rPr>
          <w:rFonts w:hint="eastAsia"/>
        </w:rPr>
        <w:tab/>
      </w:r>
      <w:r>
        <w:rPr>
          <w:rFonts w:hint="eastAsia"/>
        </w:rPr>
        <w:t xml:space="preserve">        工业安装工程质量检验评定统一标准</w:t>
      </w:r>
    </w:p>
    <w:p>
      <w:pPr>
        <w:numPr>
          <w:ilvl w:val="0"/>
          <w:numId w:val="13"/>
        </w:numPr>
        <w:spacing w:line="440" w:lineRule="exact"/>
      </w:pPr>
      <w:r>
        <w:rPr>
          <w:rFonts w:hint="eastAsia"/>
        </w:rPr>
        <w:t>GB50254—96</w:t>
      </w:r>
      <w:r>
        <w:rPr>
          <w:rFonts w:hint="eastAsia"/>
        </w:rPr>
        <w:tab/>
      </w:r>
      <w:r>
        <w:rPr>
          <w:rFonts w:hint="eastAsia"/>
        </w:rPr>
        <w:t xml:space="preserve">        电气装置安装工程低压电器施工及验收规范</w:t>
      </w:r>
    </w:p>
    <w:p>
      <w:pPr>
        <w:numPr>
          <w:ilvl w:val="0"/>
          <w:numId w:val="13"/>
        </w:numPr>
        <w:spacing w:line="440" w:lineRule="exact"/>
      </w:pPr>
      <w:r>
        <w:rPr>
          <w:rFonts w:hint="eastAsia"/>
        </w:rPr>
        <w:t>GB50255—96</w:t>
      </w:r>
      <w:r>
        <w:rPr>
          <w:rFonts w:hint="eastAsia"/>
        </w:rPr>
        <w:tab/>
      </w:r>
      <w:r>
        <w:rPr>
          <w:rFonts w:hint="eastAsia"/>
        </w:rPr>
        <w:t xml:space="preserve">        电气装置安装工程电力交流设备施工及验收规范</w:t>
      </w:r>
    </w:p>
    <w:p>
      <w:pPr>
        <w:numPr>
          <w:ilvl w:val="0"/>
          <w:numId w:val="13"/>
        </w:numPr>
        <w:spacing w:line="440" w:lineRule="exact"/>
      </w:pPr>
      <w:r>
        <w:rPr>
          <w:rFonts w:hint="eastAsia"/>
        </w:rPr>
        <w:t>GB50258—96</w:t>
      </w:r>
      <w:r>
        <w:rPr>
          <w:rFonts w:hint="eastAsia"/>
        </w:rPr>
        <w:tab/>
      </w:r>
      <w:r>
        <w:rPr>
          <w:rFonts w:hint="eastAsia"/>
        </w:rPr>
        <w:t xml:space="preserve">        电气装置安装工程 1KV以下配线工程施工及验收规范</w:t>
      </w:r>
    </w:p>
    <w:p>
      <w:pPr>
        <w:numPr>
          <w:ilvl w:val="0"/>
          <w:numId w:val="13"/>
        </w:numPr>
        <w:spacing w:line="440" w:lineRule="exact"/>
      </w:pPr>
      <w:r>
        <w:rPr>
          <w:rFonts w:hint="eastAsia"/>
        </w:rPr>
        <w:t>GBJ567—88</w:t>
      </w:r>
      <w:r>
        <w:rPr>
          <w:rFonts w:hint="eastAsia"/>
        </w:rPr>
        <w:tab/>
      </w:r>
      <w:r>
        <w:rPr>
          <w:rFonts w:hint="eastAsia"/>
        </w:rPr>
        <w:t xml:space="preserve">        计算机软件产品开发文件编制指南</w:t>
      </w:r>
    </w:p>
    <w:p>
      <w:pPr>
        <w:numPr>
          <w:ilvl w:val="0"/>
          <w:numId w:val="13"/>
        </w:numPr>
        <w:spacing w:line="440" w:lineRule="exact"/>
      </w:pPr>
      <w:r>
        <w:rPr>
          <w:rFonts w:hint="eastAsia"/>
        </w:rPr>
        <w:t>GBJ-83             工业与民用电力装置的接地设计规范</w:t>
      </w:r>
    </w:p>
    <w:p>
      <w:pPr>
        <w:numPr>
          <w:ilvl w:val="0"/>
          <w:numId w:val="13"/>
        </w:numPr>
        <w:spacing w:line="440" w:lineRule="exact"/>
      </w:pPr>
      <w:r>
        <w:rPr>
          <w:rFonts w:hint="eastAsia"/>
        </w:rPr>
        <w:t>JGJ4688            施工现场临时用电安全技术规范</w:t>
      </w:r>
    </w:p>
    <w:p>
      <w:pPr>
        <w:numPr>
          <w:ilvl w:val="0"/>
          <w:numId w:val="13"/>
        </w:numPr>
        <w:spacing w:line="440" w:lineRule="exact"/>
      </w:pPr>
      <w:r>
        <w:rPr>
          <w:rFonts w:hint="eastAsia"/>
        </w:rPr>
        <w:t>GBJ55-83           工业与民用通用设备电力设置设计规范</w:t>
      </w:r>
    </w:p>
    <w:p>
      <w:pPr>
        <w:numPr>
          <w:ilvl w:val="0"/>
          <w:numId w:val="13"/>
        </w:numPr>
        <w:spacing w:line="440" w:lineRule="exact"/>
      </w:pPr>
      <w:r>
        <w:rPr>
          <w:rFonts w:hint="eastAsia"/>
        </w:rPr>
        <w:t>GBJ54-83           低压配电装置及线路设计规范</w:t>
      </w:r>
    </w:p>
    <w:p>
      <w:pPr>
        <w:numPr>
          <w:ilvl w:val="0"/>
          <w:numId w:val="13"/>
        </w:numPr>
        <w:spacing w:line="440" w:lineRule="exact"/>
      </w:pPr>
      <w:r>
        <w:rPr>
          <w:rFonts w:hint="eastAsia"/>
        </w:rPr>
        <w:t>IEC</w:t>
      </w:r>
      <w:r>
        <w:rPr>
          <w:rFonts w:hint="eastAsia"/>
        </w:rPr>
        <w:tab/>
      </w:r>
      <w:r>
        <w:rPr>
          <w:rFonts w:hint="eastAsia"/>
        </w:rPr>
        <w:tab/>
      </w:r>
      <w:r>
        <w:rPr>
          <w:rFonts w:hint="eastAsia"/>
        </w:rPr>
        <w:tab/>
      </w:r>
      <w:r>
        <w:rPr>
          <w:rFonts w:hint="eastAsia"/>
        </w:rPr>
        <w:t xml:space="preserve">        国际电工技术委员会标准</w:t>
      </w:r>
    </w:p>
    <w:p>
      <w:pPr>
        <w:numPr>
          <w:ilvl w:val="0"/>
          <w:numId w:val="13"/>
        </w:numPr>
        <w:spacing w:line="440" w:lineRule="exact"/>
      </w:pPr>
      <w:r>
        <w:rPr>
          <w:rFonts w:hint="eastAsia"/>
        </w:rPr>
        <w:t>IS0</w:t>
      </w:r>
      <w:r>
        <w:rPr>
          <w:rFonts w:hint="eastAsia"/>
        </w:rPr>
        <w:tab/>
      </w:r>
      <w:r>
        <w:rPr>
          <w:rFonts w:hint="eastAsia"/>
        </w:rPr>
        <w:tab/>
      </w:r>
      <w:r>
        <w:rPr>
          <w:rFonts w:hint="eastAsia"/>
        </w:rPr>
        <w:tab/>
      </w:r>
      <w:r>
        <w:rPr>
          <w:rFonts w:hint="eastAsia"/>
        </w:rPr>
        <w:t xml:space="preserve">        国际标准化组织</w:t>
      </w:r>
    </w:p>
    <w:p>
      <w:pPr>
        <w:numPr>
          <w:ilvl w:val="0"/>
          <w:numId w:val="13"/>
        </w:numPr>
        <w:spacing w:line="440" w:lineRule="exact"/>
      </w:pPr>
      <w:r>
        <w:rPr>
          <w:rFonts w:hint="eastAsia"/>
        </w:rPr>
        <w:t>AGMA</w:t>
      </w:r>
      <w:r>
        <w:rPr>
          <w:rFonts w:hint="eastAsia"/>
        </w:rPr>
        <w:tab/>
      </w:r>
      <w:r>
        <w:rPr>
          <w:rFonts w:hint="eastAsia"/>
        </w:rPr>
        <w:tab/>
      </w:r>
      <w:r>
        <w:rPr>
          <w:rFonts w:hint="eastAsia"/>
        </w:rPr>
        <w:t xml:space="preserve">        美国齿轮制造商协会</w:t>
      </w:r>
    </w:p>
    <w:p>
      <w:pPr>
        <w:numPr>
          <w:ilvl w:val="0"/>
          <w:numId w:val="13"/>
        </w:numPr>
        <w:spacing w:line="440" w:lineRule="exact"/>
      </w:pPr>
      <w:r>
        <w:rPr>
          <w:rFonts w:hint="eastAsia"/>
        </w:rPr>
        <w:t>ANSI               美国国家标准协会标准</w:t>
      </w:r>
    </w:p>
    <w:p>
      <w:pPr>
        <w:numPr>
          <w:ilvl w:val="0"/>
          <w:numId w:val="13"/>
        </w:numPr>
        <w:spacing w:line="440" w:lineRule="exact"/>
      </w:pPr>
      <w:r>
        <w:rPr>
          <w:rFonts w:hint="eastAsia"/>
        </w:rPr>
        <w:t>JIC</w:t>
      </w:r>
      <w:r>
        <w:rPr>
          <w:rFonts w:hint="eastAsia"/>
        </w:rPr>
        <w:tab/>
      </w:r>
      <w:r>
        <w:rPr>
          <w:rFonts w:hint="eastAsia"/>
        </w:rPr>
        <w:tab/>
      </w:r>
      <w:r>
        <w:rPr>
          <w:rFonts w:hint="eastAsia"/>
        </w:rPr>
        <w:tab/>
      </w:r>
      <w:r>
        <w:rPr>
          <w:rFonts w:hint="eastAsia"/>
        </w:rPr>
        <w:t xml:space="preserve">        美国工业联合会</w:t>
      </w:r>
    </w:p>
    <w:p>
      <w:pPr>
        <w:numPr>
          <w:ilvl w:val="0"/>
          <w:numId w:val="13"/>
        </w:numPr>
        <w:spacing w:line="440" w:lineRule="exact"/>
      </w:pPr>
      <w:r>
        <w:rPr>
          <w:rFonts w:hint="eastAsia"/>
        </w:rPr>
        <w:t>ASME               美国机械工程师协会</w:t>
      </w:r>
    </w:p>
    <w:p>
      <w:pPr>
        <w:numPr>
          <w:ilvl w:val="0"/>
          <w:numId w:val="13"/>
        </w:numPr>
        <w:spacing w:line="440" w:lineRule="exact"/>
      </w:pPr>
      <w:r>
        <w:rPr>
          <w:rFonts w:hint="eastAsia"/>
        </w:rPr>
        <w:t>NEMA</w:t>
      </w:r>
      <w:r>
        <w:rPr>
          <w:rFonts w:hint="eastAsia"/>
        </w:rPr>
        <w:tab/>
      </w:r>
      <w:r>
        <w:rPr>
          <w:rFonts w:hint="eastAsia"/>
        </w:rPr>
        <w:tab/>
      </w:r>
      <w:r>
        <w:rPr>
          <w:rFonts w:hint="eastAsia"/>
        </w:rPr>
        <w:t xml:space="preserve">        美国国家电子制造协会</w:t>
      </w:r>
    </w:p>
    <w:p>
      <w:pPr>
        <w:numPr>
          <w:ilvl w:val="0"/>
          <w:numId w:val="13"/>
        </w:numPr>
        <w:spacing w:line="440" w:lineRule="exact"/>
      </w:pPr>
      <w:r>
        <w:rPr>
          <w:rFonts w:hint="eastAsia"/>
        </w:rPr>
        <w:t>ASTM</w:t>
      </w:r>
      <w:r>
        <w:rPr>
          <w:rFonts w:hint="eastAsia"/>
        </w:rPr>
        <w:tab/>
      </w:r>
      <w:r>
        <w:rPr>
          <w:rFonts w:hint="eastAsia"/>
        </w:rPr>
        <w:tab/>
      </w:r>
      <w:r>
        <w:rPr>
          <w:rFonts w:hint="eastAsia"/>
        </w:rPr>
        <w:t xml:space="preserve">        美国测试与材料学会</w:t>
      </w:r>
    </w:p>
    <w:p>
      <w:pPr>
        <w:numPr>
          <w:ilvl w:val="0"/>
          <w:numId w:val="13"/>
        </w:numPr>
        <w:spacing w:line="440" w:lineRule="exact"/>
      </w:pPr>
      <w:r>
        <w:rPr>
          <w:rFonts w:hint="eastAsia"/>
        </w:rPr>
        <w:t>IEC</w:t>
      </w:r>
      <w:r>
        <w:rPr>
          <w:rFonts w:hint="eastAsia"/>
        </w:rPr>
        <w:tab/>
      </w:r>
      <w:r>
        <w:rPr>
          <w:rFonts w:hint="eastAsia"/>
        </w:rPr>
        <w:tab/>
      </w:r>
      <w:r>
        <w:rPr>
          <w:rFonts w:hint="eastAsia"/>
        </w:rPr>
        <w:tab/>
      </w:r>
      <w:r>
        <w:rPr>
          <w:rFonts w:hint="eastAsia"/>
        </w:rPr>
        <w:t xml:space="preserve">        国际电工技术委员会标准</w:t>
      </w:r>
    </w:p>
    <w:p>
      <w:pPr>
        <w:numPr>
          <w:ilvl w:val="0"/>
          <w:numId w:val="13"/>
        </w:numPr>
        <w:spacing w:line="440" w:lineRule="exact"/>
      </w:pPr>
      <w:r>
        <w:rPr>
          <w:rFonts w:hint="eastAsia"/>
        </w:rPr>
        <w:t>BS</w:t>
      </w:r>
      <w:r>
        <w:rPr>
          <w:rFonts w:hint="eastAsia"/>
        </w:rPr>
        <w:tab/>
      </w:r>
      <w:r>
        <w:rPr>
          <w:rFonts w:hint="eastAsia"/>
        </w:rPr>
        <w:tab/>
      </w:r>
      <w:r>
        <w:rPr>
          <w:rFonts w:hint="eastAsia"/>
        </w:rPr>
        <w:tab/>
      </w:r>
      <w:r>
        <w:rPr>
          <w:rFonts w:hint="eastAsia"/>
        </w:rPr>
        <w:t xml:space="preserve">        英国标准学会</w:t>
      </w:r>
    </w:p>
    <w:p>
      <w:pPr>
        <w:numPr>
          <w:ilvl w:val="0"/>
          <w:numId w:val="13"/>
        </w:numPr>
        <w:spacing w:line="440" w:lineRule="exact"/>
      </w:pPr>
      <w:r>
        <w:rPr>
          <w:rFonts w:hint="eastAsia"/>
        </w:rPr>
        <w:t>AEMA</w:t>
      </w:r>
      <w:r>
        <w:rPr>
          <w:rFonts w:hint="eastAsia"/>
        </w:rPr>
        <w:tab/>
      </w:r>
      <w:r>
        <w:rPr>
          <w:rFonts w:hint="eastAsia"/>
        </w:rPr>
        <w:tab/>
      </w:r>
      <w:r>
        <w:rPr>
          <w:rFonts w:hint="eastAsia"/>
        </w:rPr>
        <w:tab/>
      </w:r>
      <w:r>
        <w:rPr>
          <w:rFonts w:hint="eastAsia"/>
        </w:rPr>
        <w:t xml:space="preserve">    美国国家电气制造商协会</w:t>
      </w:r>
    </w:p>
    <w:p>
      <w:pPr>
        <w:numPr>
          <w:ilvl w:val="0"/>
          <w:numId w:val="13"/>
        </w:numPr>
        <w:spacing w:line="440" w:lineRule="exact"/>
      </w:pPr>
      <w:r>
        <w:rPr>
          <w:rFonts w:hint="eastAsia"/>
        </w:rPr>
        <w:t>NEC</w:t>
      </w:r>
      <w:r>
        <w:rPr>
          <w:rFonts w:hint="eastAsia"/>
        </w:rPr>
        <w:tab/>
      </w:r>
      <w:r>
        <w:rPr>
          <w:rFonts w:hint="eastAsia"/>
        </w:rPr>
        <w:t xml:space="preserve">                英国全国电气规程</w:t>
      </w:r>
    </w:p>
    <w:p>
      <w:pPr>
        <w:numPr>
          <w:ilvl w:val="0"/>
          <w:numId w:val="13"/>
        </w:numPr>
        <w:spacing w:line="440" w:lineRule="exact"/>
      </w:pPr>
      <w:r>
        <w:rPr>
          <w:rFonts w:hint="eastAsia"/>
        </w:rPr>
        <w:t>DIN</w:t>
      </w:r>
      <w:r>
        <w:rPr>
          <w:rFonts w:hint="eastAsia"/>
        </w:rPr>
        <w:tab/>
      </w:r>
      <w:r>
        <w:rPr>
          <w:rFonts w:hint="eastAsia"/>
        </w:rPr>
        <w:tab/>
      </w:r>
      <w:r>
        <w:rPr>
          <w:rFonts w:hint="eastAsia"/>
        </w:rPr>
        <w:tab/>
      </w:r>
      <w:r>
        <w:rPr>
          <w:rFonts w:hint="eastAsia"/>
        </w:rPr>
        <w:t xml:space="preserve">        德国工业标准</w:t>
      </w:r>
    </w:p>
    <w:p>
      <w:pPr>
        <w:numPr>
          <w:ilvl w:val="0"/>
          <w:numId w:val="13"/>
        </w:numPr>
        <w:spacing w:line="440" w:lineRule="exact"/>
      </w:pPr>
      <w:r>
        <w:rPr>
          <w:rFonts w:hint="eastAsia"/>
        </w:rPr>
        <w:t>IS0</w:t>
      </w:r>
      <w:r>
        <w:rPr>
          <w:rFonts w:hint="eastAsia"/>
        </w:rPr>
        <w:tab/>
      </w:r>
      <w:r>
        <w:rPr>
          <w:rFonts w:hint="eastAsia"/>
        </w:rPr>
        <w:tab/>
      </w:r>
      <w:r>
        <w:rPr>
          <w:rFonts w:hint="eastAsia"/>
        </w:rPr>
        <w:tab/>
      </w:r>
      <w:r>
        <w:rPr>
          <w:rFonts w:hint="eastAsia"/>
        </w:rPr>
        <w:t xml:space="preserve">        国际标准化组织</w:t>
      </w:r>
    </w:p>
    <w:p>
      <w:pPr>
        <w:numPr>
          <w:ilvl w:val="0"/>
          <w:numId w:val="13"/>
        </w:numPr>
        <w:spacing w:line="440" w:lineRule="exact"/>
      </w:pPr>
      <w:r>
        <w:rPr>
          <w:rFonts w:hint="eastAsia"/>
        </w:rPr>
        <w:t>JIS</w:t>
      </w:r>
      <w:r>
        <w:rPr>
          <w:rFonts w:hint="eastAsia"/>
        </w:rPr>
        <w:tab/>
      </w:r>
      <w:r>
        <w:rPr>
          <w:rFonts w:hint="eastAsia"/>
        </w:rPr>
        <w:tab/>
      </w:r>
      <w:r>
        <w:rPr>
          <w:rFonts w:hint="eastAsia"/>
        </w:rPr>
        <w:tab/>
      </w:r>
      <w:r>
        <w:rPr>
          <w:rFonts w:hint="eastAsia"/>
        </w:rPr>
        <w:t xml:space="preserve">        日本工业标准</w:t>
      </w:r>
    </w:p>
    <w:p>
      <w:pPr>
        <w:numPr>
          <w:ilvl w:val="0"/>
          <w:numId w:val="13"/>
        </w:numPr>
        <w:spacing w:line="440" w:lineRule="exact"/>
      </w:pPr>
      <w:r>
        <w:rPr>
          <w:rFonts w:hint="eastAsia"/>
        </w:rPr>
        <w:t>SI</w:t>
      </w:r>
      <w:r>
        <w:rPr>
          <w:rFonts w:hint="eastAsia"/>
        </w:rPr>
        <w:tab/>
      </w:r>
      <w:r>
        <w:rPr>
          <w:rFonts w:hint="eastAsia"/>
        </w:rPr>
        <w:tab/>
      </w:r>
      <w:r>
        <w:rPr>
          <w:rFonts w:hint="eastAsia"/>
        </w:rPr>
        <w:tab/>
      </w:r>
      <w:r>
        <w:rPr>
          <w:rFonts w:hint="eastAsia"/>
        </w:rPr>
        <w:tab/>
      </w:r>
      <w:r>
        <w:rPr>
          <w:rFonts w:hint="eastAsia"/>
        </w:rPr>
        <w:t xml:space="preserve">    国际单位制</w:t>
      </w:r>
    </w:p>
    <w:p>
      <w:pPr>
        <w:numPr>
          <w:ilvl w:val="0"/>
          <w:numId w:val="13"/>
        </w:numPr>
        <w:spacing w:line="440" w:lineRule="exact"/>
      </w:pPr>
      <w:r>
        <w:rPr>
          <w:rFonts w:hint="eastAsia"/>
        </w:rPr>
        <w:t>SSPC                钢铁结构涂层协会</w:t>
      </w:r>
    </w:p>
    <w:p>
      <w:pPr>
        <w:numPr>
          <w:ilvl w:val="0"/>
          <w:numId w:val="13"/>
        </w:numPr>
        <w:spacing w:line="360" w:lineRule="auto"/>
        <w:jc w:val="left"/>
      </w:pPr>
      <w:r>
        <w:rPr>
          <w:rFonts w:hint="eastAsia"/>
        </w:rPr>
        <w:t>CECS72：97          建筑与建筑群综合布线系统工程设计规范</w:t>
      </w:r>
    </w:p>
    <w:p>
      <w:pPr>
        <w:pStyle w:val="3"/>
        <w:numPr>
          <w:ilvl w:val="0"/>
          <w:numId w:val="0"/>
        </w:numPr>
        <w:ind w:left="180"/>
        <w:rPr>
          <w:rFonts w:ascii="宋体" w:hAnsi="宋体" w:eastAsia="宋体"/>
        </w:rPr>
      </w:pPr>
      <w:bookmarkStart w:id="122" w:name="_Toc304945652"/>
      <w:bookmarkStart w:id="123" w:name="_Toc424999156"/>
      <w:bookmarkStart w:id="124" w:name="_Toc457880671"/>
      <w:bookmarkStart w:id="125" w:name="_Toc4120"/>
      <w:r>
        <w:rPr>
          <w:rFonts w:hint="eastAsia" w:ascii="宋体" w:hAnsi="宋体" w:eastAsia="宋体"/>
        </w:rPr>
        <w:t>系统主要技术指标</w:t>
      </w:r>
      <w:bookmarkEnd w:id="122"/>
      <w:bookmarkEnd w:id="123"/>
      <w:bookmarkEnd w:id="124"/>
      <w:bookmarkEnd w:id="125"/>
    </w:p>
    <w:p>
      <w:pPr>
        <w:numPr>
          <w:ilvl w:val="0"/>
          <w:numId w:val="13"/>
        </w:numPr>
        <w:spacing w:line="360" w:lineRule="auto"/>
        <w:ind w:left="826" w:hanging="346"/>
        <w:jc w:val="left"/>
      </w:pPr>
      <w:r>
        <w:rPr>
          <w:rFonts w:hint="eastAsia"/>
        </w:rPr>
        <w:t>系统处理快件为外形包装规则的箱、盒体, 对于外形尺寸不规则、包装不规范，及超小、超薄的快件如果需要上线查验，建议装入标准周转箱。</w:t>
      </w:r>
    </w:p>
    <w:p>
      <w:pPr>
        <w:numPr>
          <w:ilvl w:val="0"/>
          <w:numId w:val="13"/>
        </w:numPr>
        <w:spacing w:line="360" w:lineRule="auto"/>
        <w:ind w:left="826" w:hanging="346"/>
        <w:jc w:val="left"/>
      </w:pPr>
      <w:r>
        <w:rPr>
          <w:rFonts w:hint="eastAsia"/>
        </w:rPr>
        <w:t>系统处理快件尺寸：MAX:800(L)×800(W)×800(H)mm</w:t>
      </w:r>
    </w:p>
    <w:p>
      <w:pPr>
        <w:spacing w:line="360" w:lineRule="auto"/>
        <w:ind w:firstLine="2730" w:firstLineChars="1300"/>
        <w:jc w:val="left"/>
      </w:pPr>
      <w:r>
        <w:rPr>
          <w:rFonts w:hint="eastAsia"/>
        </w:rPr>
        <w:t>MIN:200(L)×200(W)×20(H)mm</w:t>
      </w:r>
    </w:p>
    <w:p>
      <w:pPr>
        <w:numPr>
          <w:ilvl w:val="0"/>
          <w:numId w:val="13"/>
        </w:numPr>
        <w:spacing w:line="360" w:lineRule="auto"/>
        <w:ind w:left="826" w:hanging="346"/>
        <w:jc w:val="left"/>
      </w:pPr>
      <w:r>
        <w:rPr>
          <w:rFonts w:hint="eastAsia"/>
        </w:rPr>
        <w:t>系统处理快件重量不小于1KG/件，不大于50KG/件</w:t>
      </w:r>
    </w:p>
    <w:p>
      <w:pPr>
        <w:numPr>
          <w:ilvl w:val="0"/>
          <w:numId w:val="13"/>
        </w:numPr>
        <w:spacing w:line="360" w:lineRule="auto"/>
        <w:ind w:left="826" w:hanging="346"/>
        <w:jc w:val="left"/>
      </w:pPr>
      <w:r>
        <w:rPr>
          <w:rFonts w:hint="eastAsia"/>
        </w:rPr>
        <w:t>整机运行噪声 ≤70dB（A）</w:t>
      </w:r>
    </w:p>
    <w:p>
      <w:pPr>
        <w:numPr>
          <w:ilvl w:val="0"/>
          <w:numId w:val="13"/>
        </w:numPr>
        <w:spacing w:line="360" w:lineRule="auto"/>
        <w:ind w:left="826" w:hanging="346"/>
        <w:jc w:val="left"/>
      </w:pPr>
      <w:r>
        <w:rPr>
          <w:rFonts w:hint="eastAsia"/>
        </w:rPr>
        <w:t>最大噪声点噪声 ≤72dB（A）</w:t>
      </w:r>
    </w:p>
    <w:p>
      <w:pPr>
        <w:numPr>
          <w:ilvl w:val="0"/>
          <w:numId w:val="13"/>
        </w:numPr>
        <w:spacing w:line="360" w:lineRule="auto"/>
        <w:ind w:left="826" w:hanging="346"/>
        <w:jc w:val="left"/>
      </w:pPr>
      <w:r>
        <w:rPr>
          <w:rFonts w:hint="eastAsia"/>
        </w:rPr>
        <w:t>整机连续工作时间：≥12 小时</w:t>
      </w:r>
    </w:p>
    <w:p>
      <w:pPr>
        <w:numPr>
          <w:ilvl w:val="0"/>
          <w:numId w:val="13"/>
        </w:numPr>
        <w:spacing w:line="360" w:lineRule="auto"/>
        <w:ind w:left="826" w:hanging="346"/>
        <w:jc w:val="left"/>
      </w:pPr>
      <w:r>
        <w:rPr>
          <w:rFonts w:hint="eastAsia"/>
        </w:rPr>
        <w:t>空载连续工作时间：≥24 小时</w:t>
      </w:r>
    </w:p>
    <w:p>
      <w:pPr>
        <w:numPr>
          <w:ilvl w:val="0"/>
          <w:numId w:val="13"/>
        </w:numPr>
        <w:spacing w:line="360" w:lineRule="auto"/>
        <w:ind w:left="826" w:hanging="346"/>
        <w:jc w:val="left"/>
      </w:pPr>
      <w:r>
        <w:rPr>
          <w:rFonts w:hint="eastAsia"/>
        </w:rPr>
        <w:t>系统保证每件快件判图时间不少于6秒</w:t>
      </w:r>
    </w:p>
    <w:p>
      <w:pPr>
        <w:numPr>
          <w:ilvl w:val="0"/>
          <w:numId w:val="13"/>
        </w:numPr>
        <w:spacing w:line="360" w:lineRule="auto"/>
        <w:ind w:left="826" w:hanging="346"/>
        <w:jc w:val="left"/>
      </w:pPr>
      <w:r>
        <w:rPr>
          <w:rFonts w:hint="eastAsia"/>
        </w:rPr>
        <w:t>机械连续无重大故障时间：≥1000 小时</w:t>
      </w:r>
    </w:p>
    <w:p>
      <w:pPr>
        <w:numPr>
          <w:ilvl w:val="0"/>
          <w:numId w:val="13"/>
        </w:numPr>
        <w:spacing w:line="360" w:lineRule="auto"/>
        <w:ind w:left="826" w:hanging="346"/>
        <w:jc w:val="left"/>
      </w:pPr>
      <w:r>
        <w:rPr>
          <w:rFonts w:hint="eastAsia"/>
        </w:rPr>
        <w:t>电控连续无重大故障时间：≥2000 小时</w:t>
      </w:r>
    </w:p>
    <w:p>
      <w:pPr>
        <w:numPr>
          <w:ilvl w:val="0"/>
          <w:numId w:val="13"/>
        </w:numPr>
        <w:spacing w:line="360" w:lineRule="auto"/>
        <w:ind w:left="826" w:hanging="346"/>
        <w:jc w:val="left"/>
      </w:pPr>
      <w:r>
        <w:rPr>
          <w:rFonts w:hint="eastAsia"/>
        </w:rPr>
        <w:t>系统数据备份不小于三个月</w:t>
      </w:r>
    </w:p>
    <w:p>
      <w:pPr>
        <w:numPr>
          <w:ilvl w:val="0"/>
          <w:numId w:val="13"/>
        </w:numPr>
        <w:spacing w:line="360" w:lineRule="auto"/>
        <w:ind w:left="826" w:hanging="346"/>
        <w:jc w:val="left"/>
      </w:pPr>
      <w:r>
        <w:rPr>
          <w:rFonts w:hint="eastAsia"/>
        </w:rPr>
        <w:t>所有扫描条码上线快件图像保存时间不少于三个月</w:t>
      </w:r>
    </w:p>
    <w:p>
      <w:pPr>
        <w:numPr>
          <w:ilvl w:val="0"/>
          <w:numId w:val="13"/>
        </w:numPr>
        <w:spacing w:line="360" w:lineRule="auto"/>
        <w:ind w:left="826" w:hanging="346"/>
        <w:jc w:val="left"/>
      </w:pPr>
      <w:r>
        <w:rPr>
          <w:rFonts w:hint="eastAsia"/>
        </w:rPr>
        <w:t>不受 2 米外强电火花、冲击钻和电梯频繁启动的影响</w:t>
      </w:r>
    </w:p>
    <w:p>
      <w:pPr>
        <w:numPr>
          <w:ilvl w:val="0"/>
          <w:numId w:val="13"/>
        </w:numPr>
        <w:spacing w:line="360" w:lineRule="auto"/>
        <w:ind w:left="826" w:hanging="346"/>
        <w:jc w:val="left"/>
        <w:rPr>
          <w:rFonts w:hint="eastAsia"/>
        </w:rPr>
      </w:pPr>
      <w:r>
        <w:rPr>
          <w:rFonts w:hint="eastAsia"/>
        </w:rPr>
        <w:t>系统可支持国内运营的所有快件公司的进出境快件条码处理。</w:t>
      </w:r>
    </w:p>
    <w:p>
      <w:pPr>
        <w:numPr>
          <w:ilvl w:val="0"/>
          <w:numId w:val="13"/>
        </w:numPr>
        <w:spacing w:line="360" w:lineRule="auto"/>
        <w:ind w:left="826" w:hanging="346"/>
        <w:jc w:val="left"/>
      </w:pPr>
      <w:r>
        <w:rPr>
          <w:rFonts w:hint="eastAsia"/>
        </w:rPr>
        <w:t>单条监管流水线效率：600-900件/小时</w:t>
      </w:r>
    </w:p>
    <w:p>
      <w:pPr>
        <w:pStyle w:val="3"/>
        <w:numPr>
          <w:ilvl w:val="0"/>
          <w:numId w:val="0"/>
        </w:numPr>
        <w:ind w:left="180"/>
        <w:rPr>
          <w:rFonts w:ascii="宋体" w:hAnsi="宋体" w:eastAsia="宋体"/>
        </w:rPr>
      </w:pPr>
      <w:bookmarkStart w:id="126" w:name="_Toc304945653"/>
      <w:bookmarkStart w:id="127" w:name="_Toc424999157"/>
      <w:bookmarkStart w:id="128" w:name="_Toc457880672"/>
      <w:bookmarkStart w:id="129" w:name="_Toc18754"/>
      <w:r>
        <w:rPr>
          <w:rFonts w:hint="eastAsia" w:ascii="宋体" w:hAnsi="宋体" w:eastAsia="宋体"/>
        </w:rPr>
        <w:t xml:space="preserve"> 系统主要功能</w:t>
      </w:r>
      <w:bookmarkEnd w:id="126"/>
      <w:bookmarkEnd w:id="127"/>
      <w:bookmarkEnd w:id="128"/>
      <w:bookmarkEnd w:id="129"/>
    </w:p>
    <w:p>
      <w:pPr>
        <w:numPr>
          <w:ilvl w:val="0"/>
          <w:numId w:val="13"/>
        </w:numPr>
        <w:spacing w:line="360" w:lineRule="auto"/>
        <w:ind w:left="826" w:hanging="346"/>
        <w:jc w:val="left"/>
      </w:pPr>
      <w:r>
        <w:rPr>
          <w:rFonts w:hint="eastAsia"/>
        </w:rPr>
        <w:t>系统提供在线查验和快速通关两种通关方式；</w:t>
      </w:r>
    </w:p>
    <w:p>
      <w:pPr>
        <w:numPr>
          <w:ilvl w:val="0"/>
          <w:numId w:val="13"/>
        </w:numPr>
        <w:spacing w:line="360" w:lineRule="auto"/>
        <w:ind w:left="826" w:hanging="346"/>
        <w:jc w:val="left"/>
      </w:pPr>
      <w:r>
        <w:rPr>
          <w:rFonts w:hint="eastAsia"/>
        </w:rPr>
        <w:t>同屏比对：系统通过条码扫描并处理,读取快件分运单，并从本地货物监管集中查验系统服务器中读取快件EDI报关/报检信息，海关关员可在海关主控室X光机操作员工作站上同屏比对海关指定的EDI信息选项和X光机快件机检图像；</w:t>
      </w:r>
    </w:p>
    <w:p>
      <w:pPr>
        <w:numPr>
          <w:ilvl w:val="0"/>
          <w:numId w:val="13"/>
        </w:numPr>
        <w:spacing w:line="360" w:lineRule="auto"/>
        <w:ind w:left="826" w:hanging="346"/>
        <w:jc w:val="left"/>
      </w:pPr>
      <w:r>
        <w:rPr>
          <w:rFonts w:hint="eastAsia"/>
        </w:rPr>
        <w:t>自动分拣：经审单布控或关员机检判断需要开拆查验的快件，设备可根据海关系统提供的反馈信息将快件分拣到对应的查验作业区；</w:t>
      </w:r>
    </w:p>
    <w:p>
      <w:pPr>
        <w:numPr>
          <w:ilvl w:val="0"/>
          <w:numId w:val="13"/>
        </w:numPr>
        <w:spacing w:line="360" w:lineRule="auto"/>
        <w:ind w:left="826" w:hanging="346"/>
        <w:jc w:val="left"/>
      </w:pPr>
      <w:r>
        <w:rPr>
          <w:rFonts w:hint="eastAsia"/>
        </w:rPr>
        <w:t>远程控制：在系统开机状态下，关员可以在远程通过一次启/停机操作，同时启/停X光机和线体传送带运动；</w:t>
      </w:r>
    </w:p>
    <w:p>
      <w:pPr>
        <w:numPr>
          <w:ilvl w:val="0"/>
          <w:numId w:val="13"/>
        </w:numPr>
        <w:spacing w:line="360" w:lineRule="auto"/>
        <w:ind w:left="826" w:hanging="346"/>
        <w:jc w:val="left"/>
      </w:pPr>
      <w:r>
        <w:rPr>
          <w:rFonts w:hint="eastAsia"/>
        </w:rPr>
        <w:t>查验结果反馈：系统自动向本地货物监管集中查验系统服务器回写所有快件机检结果；</w:t>
      </w:r>
    </w:p>
    <w:p>
      <w:pPr>
        <w:numPr>
          <w:ilvl w:val="0"/>
          <w:numId w:val="13"/>
        </w:numPr>
        <w:spacing w:line="360" w:lineRule="auto"/>
        <w:ind w:left="826" w:hanging="346"/>
        <w:jc w:val="left"/>
      </w:pPr>
      <w:r>
        <w:rPr>
          <w:rFonts w:hint="eastAsia"/>
        </w:rPr>
        <w:t>所有到达快件信息采集、条码补录功能；</w:t>
      </w:r>
    </w:p>
    <w:p>
      <w:pPr>
        <w:numPr>
          <w:ilvl w:val="0"/>
          <w:numId w:val="13"/>
        </w:numPr>
        <w:spacing w:line="360" w:lineRule="auto"/>
        <w:ind w:left="826" w:hanging="346"/>
        <w:jc w:val="left"/>
      </w:pPr>
      <w:r>
        <w:rPr>
          <w:rFonts w:hint="eastAsia"/>
        </w:rPr>
        <w:t>验放指令获取、辨识、置放功能：平台对每一票快件有三个验放指令标记，在各环节根据不同的指令标记做不同处理。分别是审单指令（从快件通关系统中获得）、机检指令（关员机检判读时下达）、开拆指令（关员开拆查验后下达）；</w:t>
      </w:r>
    </w:p>
    <w:p>
      <w:pPr>
        <w:numPr>
          <w:ilvl w:val="0"/>
          <w:numId w:val="13"/>
        </w:numPr>
        <w:spacing w:line="360" w:lineRule="auto"/>
        <w:ind w:left="826" w:hanging="346"/>
        <w:jc w:val="left"/>
      </w:pPr>
      <w:r>
        <w:rPr>
          <w:rFonts w:hint="eastAsia"/>
        </w:rPr>
        <w:t>系统自动生成设备工作日志功能（操作员、登陆密码、机检时间、机检结果等）。</w:t>
      </w:r>
    </w:p>
    <w:p>
      <w:pPr>
        <w:numPr>
          <w:ilvl w:val="0"/>
          <w:numId w:val="13"/>
        </w:numPr>
        <w:spacing w:line="360" w:lineRule="auto"/>
        <w:ind w:left="826" w:hanging="346"/>
        <w:jc w:val="left"/>
      </w:pPr>
      <w:r>
        <w:rPr>
          <w:rFonts w:hint="eastAsia"/>
        </w:rPr>
        <w:t>快件监管信息的统计、查询及报表打印功能；</w:t>
      </w:r>
    </w:p>
    <w:p>
      <w:pPr>
        <w:numPr>
          <w:ilvl w:val="0"/>
          <w:numId w:val="13"/>
        </w:numPr>
        <w:spacing w:line="360" w:lineRule="auto"/>
        <w:ind w:left="826" w:hanging="346"/>
        <w:jc w:val="left"/>
      </w:pPr>
      <w:r>
        <w:rPr>
          <w:rFonts w:hint="eastAsia"/>
        </w:rPr>
        <w:t>系统实时运行动态画面监控功能；</w:t>
      </w:r>
    </w:p>
    <w:p>
      <w:pPr>
        <w:numPr>
          <w:ilvl w:val="0"/>
          <w:numId w:val="13"/>
        </w:numPr>
        <w:spacing w:line="360" w:lineRule="auto"/>
        <w:ind w:left="826" w:hanging="346"/>
        <w:jc w:val="left"/>
      </w:pPr>
      <w:r>
        <w:rPr>
          <w:rFonts w:hint="eastAsia"/>
        </w:rPr>
        <w:t>系统故障紧急停机安全保护功能；</w:t>
      </w:r>
    </w:p>
    <w:p>
      <w:pPr>
        <w:numPr>
          <w:ilvl w:val="0"/>
          <w:numId w:val="13"/>
        </w:numPr>
        <w:spacing w:line="360" w:lineRule="auto"/>
        <w:ind w:left="826" w:hanging="346"/>
        <w:jc w:val="left"/>
      </w:pPr>
      <w:r>
        <w:rPr>
          <w:rFonts w:hint="eastAsia"/>
        </w:rPr>
        <w:t>系统物件卡塞自动停机功能；</w:t>
      </w:r>
    </w:p>
    <w:p>
      <w:pPr>
        <w:numPr>
          <w:ilvl w:val="0"/>
          <w:numId w:val="13"/>
        </w:numPr>
        <w:spacing w:line="360" w:lineRule="auto"/>
        <w:ind w:left="826" w:hanging="346"/>
        <w:jc w:val="left"/>
      </w:pPr>
      <w:r>
        <w:rPr>
          <w:rFonts w:hint="eastAsia"/>
        </w:rPr>
        <w:t>系统查验暂存输送线溢出声光预告警及停机功能；</w:t>
      </w:r>
    </w:p>
    <w:p>
      <w:pPr>
        <w:numPr>
          <w:ilvl w:val="0"/>
          <w:numId w:val="13"/>
        </w:numPr>
        <w:spacing w:line="360" w:lineRule="auto"/>
        <w:ind w:left="826" w:hanging="346"/>
        <w:jc w:val="left"/>
      </w:pPr>
      <w:r>
        <w:rPr>
          <w:rFonts w:hint="eastAsia"/>
        </w:rPr>
        <w:t>系统具备本地单独启动X光机检查功能，可应对不能进行网络远程控制的特殊情况。</w:t>
      </w:r>
    </w:p>
    <w:p>
      <w:pPr>
        <w:pStyle w:val="3"/>
        <w:numPr>
          <w:ilvl w:val="0"/>
          <w:numId w:val="0"/>
        </w:numPr>
        <w:ind w:left="180"/>
        <w:rPr>
          <w:rFonts w:ascii="宋体" w:hAnsi="宋体" w:eastAsia="宋体"/>
        </w:rPr>
      </w:pPr>
      <w:bookmarkStart w:id="130" w:name="_Toc304945654"/>
      <w:bookmarkStart w:id="131" w:name="_Toc457880673"/>
      <w:bookmarkStart w:id="132" w:name="_Toc18264"/>
      <w:bookmarkStart w:id="133" w:name="_Toc424999158"/>
      <w:r>
        <w:rPr>
          <w:rFonts w:hint="eastAsia" w:ascii="宋体" w:hAnsi="宋体" w:eastAsia="宋体"/>
        </w:rPr>
        <w:t>总体功能说明</w:t>
      </w:r>
      <w:bookmarkEnd w:id="130"/>
      <w:bookmarkEnd w:id="131"/>
      <w:bookmarkEnd w:id="132"/>
      <w:bookmarkEnd w:id="133"/>
    </w:p>
    <w:p>
      <w:pPr>
        <w:pStyle w:val="3"/>
        <w:numPr>
          <w:ilvl w:val="0"/>
          <w:numId w:val="0"/>
        </w:numPr>
        <w:ind w:left="180"/>
        <w:rPr>
          <w:rFonts w:ascii="宋体" w:hAnsi="宋体"/>
        </w:rPr>
      </w:pPr>
      <w:r>
        <w:rPr>
          <w:rFonts w:hint="eastAsia" w:ascii="宋体" w:hAnsi="宋体"/>
        </w:rPr>
        <w:tab/>
      </w:r>
      <w:r>
        <w:rPr>
          <w:rFonts w:hint="eastAsia" w:ascii="宋体" w:hAnsi="宋体" w:eastAsia="宋体"/>
        </w:rPr>
        <w:t>货物监管集中查验系统</w:t>
      </w:r>
    </w:p>
    <w:p>
      <w:pPr>
        <w:spacing w:line="360" w:lineRule="auto"/>
        <w:ind w:left="420" w:leftChars="200" w:firstLine="420"/>
        <w:jc w:val="left"/>
      </w:pPr>
      <w:r>
        <w:rPr>
          <w:rFonts w:hint="eastAsia"/>
        </w:rPr>
        <w:t>货物监管集中查验系统由7部分组成，分别是：</w:t>
      </w:r>
    </w:p>
    <w:p>
      <w:pPr>
        <w:numPr>
          <w:ilvl w:val="0"/>
          <w:numId w:val="14"/>
        </w:numPr>
        <w:spacing w:line="360" w:lineRule="auto"/>
        <w:ind w:left="840" w:leftChars="400"/>
        <w:jc w:val="left"/>
      </w:pPr>
      <w:r>
        <w:rPr>
          <w:rFonts w:hint="eastAsia"/>
        </w:rPr>
        <w:t>线体（机械）：其尺寸和布局如后图所示</w:t>
      </w:r>
    </w:p>
    <w:p>
      <w:pPr>
        <w:numPr>
          <w:ilvl w:val="0"/>
          <w:numId w:val="14"/>
        </w:numPr>
        <w:spacing w:line="360" w:lineRule="auto"/>
        <w:ind w:left="840" w:leftChars="400"/>
        <w:jc w:val="left"/>
      </w:pPr>
      <w:r>
        <w:rPr>
          <w:rFonts w:hint="eastAsia"/>
        </w:rPr>
        <w:t>控制柜（电器）：摆放在线体附件，主要控制整个线体的运行和货物的移栽。</w:t>
      </w:r>
    </w:p>
    <w:p>
      <w:pPr>
        <w:numPr>
          <w:ilvl w:val="0"/>
          <w:numId w:val="14"/>
        </w:numPr>
        <w:spacing w:line="360" w:lineRule="auto"/>
        <w:ind w:left="840" w:leftChars="400"/>
        <w:jc w:val="left"/>
      </w:pPr>
      <w:r>
        <w:rPr>
          <w:rFonts w:hint="eastAsia"/>
        </w:rPr>
        <w:t>扫描站：放置于线体前端，对货物进行条码扫描。</w:t>
      </w:r>
    </w:p>
    <w:p>
      <w:pPr>
        <w:numPr>
          <w:ilvl w:val="0"/>
          <w:numId w:val="14"/>
        </w:numPr>
        <w:spacing w:line="360" w:lineRule="auto"/>
        <w:ind w:left="840" w:leftChars="400"/>
        <w:jc w:val="left"/>
      </w:pPr>
      <w:r>
        <w:rPr>
          <w:rFonts w:hint="eastAsia"/>
        </w:rPr>
        <w:t>称重：放置于扫描站后面，对货物进行称重。</w:t>
      </w:r>
    </w:p>
    <w:p>
      <w:pPr>
        <w:numPr>
          <w:ilvl w:val="0"/>
          <w:numId w:val="14"/>
        </w:numPr>
        <w:spacing w:line="360" w:lineRule="auto"/>
        <w:ind w:left="840" w:leftChars="400"/>
        <w:jc w:val="left"/>
      </w:pPr>
      <w:r>
        <w:rPr>
          <w:rFonts w:hint="eastAsia"/>
        </w:rPr>
        <w:t>X光机：摆放于线体中间，对货物进行X光扫描，给出X光图像。</w:t>
      </w:r>
    </w:p>
    <w:p>
      <w:pPr>
        <w:numPr>
          <w:ilvl w:val="0"/>
          <w:numId w:val="14"/>
        </w:numPr>
        <w:spacing w:line="360" w:lineRule="auto"/>
        <w:ind w:left="840" w:leftChars="400"/>
        <w:jc w:val="left"/>
      </w:pPr>
      <w:r>
        <w:rPr>
          <w:rFonts w:hint="eastAsia"/>
        </w:rPr>
        <w:t>海关判图站：放置于海关判图室，对货物的EDI信息和X光图像进行同屏比对，接受海关关员指令，对嫌疑货物做标记并通知线体系统进行移栽。</w:t>
      </w:r>
    </w:p>
    <w:p>
      <w:pPr>
        <w:numPr>
          <w:ilvl w:val="0"/>
          <w:numId w:val="14"/>
        </w:numPr>
        <w:spacing w:line="360" w:lineRule="auto"/>
        <w:ind w:left="840" w:leftChars="400"/>
        <w:jc w:val="left"/>
      </w:pPr>
      <w:r>
        <w:rPr>
          <w:rFonts w:hint="eastAsia"/>
        </w:rPr>
        <w:t>海关服务器：放置于海关机房，与海关EDI服务器进行EDI数据交换，集中存储X光图像，是整个海关系统运行的中心</w:t>
      </w:r>
    </w:p>
    <w:p>
      <w:pPr>
        <w:spacing w:line="360" w:lineRule="auto"/>
        <w:ind w:left="1260"/>
        <w:jc w:val="center"/>
      </w:pPr>
      <w:r>
        <w:rPr>
          <w:rFonts w:hint="eastAsia"/>
        </w:rPr>
        <w:t>货物监管集中查验流水线示意图</w:t>
      </w:r>
    </w:p>
    <w:p>
      <w:pPr>
        <w:spacing w:line="360" w:lineRule="auto"/>
        <w:jc w:val="left"/>
        <w:rPr>
          <w:rFonts w:hint="eastAsia"/>
        </w:rPr>
      </w:pPr>
    </w:p>
    <w:p>
      <w:pPr>
        <w:spacing w:line="360" w:lineRule="auto"/>
        <w:jc w:val="left"/>
        <w:sectPr>
          <w:footerReference r:id="rId3" w:type="default"/>
          <w:pgSz w:w="11906" w:h="16838"/>
          <w:pgMar w:top="1440" w:right="1080" w:bottom="1440" w:left="1080" w:header="851" w:footer="992" w:gutter="0"/>
          <w:pgNumType w:fmt="decimal"/>
          <w:cols w:space="720" w:num="1"/>
          <w:docGrid w:type="lines" w:linePitch="312" w:charSpace="0"/>
        </w:sectPr>
      </w:pPr>
      <w:r>
        <w:drawing>
          <wp:inline distT="0" distB="0" distL="114300" distR="114300">
            <wp:extent cx="5278120" cy="7466330"/>
            <wp:effectExtent l="0" t="0" r="17780" b="127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pic:cNvPicPr>
                  </pic:nvPicPr>
                  <pic:blipFill>
                    <a:blip r:embed="rId16"/>
                    <a:stretch>
                      <a:fillRect/>
                    </a:stretch>
                  </pic:blipFill>
                  <pic:spPr>
                    <a:xfrm>
                      <a:off x="0" y="0"/>
                      <a:ext cx="5278120" cy="7466330"/>
                    </a:xfrm>
                    <a:prstGeom prst="rect">
                      <a:avLst/>
                    </a:prstGeom>
                    <a:noFill/>
                    <a:ln w="9525">
                      <a:noFill/>
                    </a:ln>
                  </pic:spPr>
                </pic:pic>
              </a:graphicData>
            </a:graphic>
          </wp:inline>
        </w:drawing>
      </w:r>
    </w:p>
    <w:p>
      <w:pPr>
        <w:pStyle w:val="3"/>
        <w:numPr>
          <w:ilvl w:val="0"/>
          <w:numId w:val="0"/>
        </w:numPr>
        <w:ind w:left="180"/>
        <w:rPr>
          <w:rFonts w:ascii="宋体" w:hAnsi="宋体" w:eastAsia="宋体"/>
        </w:rPr>
      </w:pPr>
      <w:bookmarkStart w:id="134" w:name="_Toc14284"/>
      <w:bookmarkStart w:id="135" w:name="_Toc304945655"/>
      <w:bookmarkStart w:id="136" w:name="_Toc457880674"/>
      <w:bookmarkStart w:id="137" w:name="_Toc424999159"/>
      <w:r>
        <w:rPr>
          <w:rFonts w:hint="eastAsia" w:ascii="宋体" w:hAnsi="宋体" w:eastAsia="宋体"/>
        </w:rPr>
        <w:t xml:space="preserve"> 系统业务流程</w:t>
      </w:r>
      <w:bookmarkEnd w:id="134"/>
      <w:bookmarkEnd w:id="135"/>
      <w:bookmarkEnd w:id="136"/>
      <w:bookmarkEnd w:id="137"/>
    </w:p>
    <w:p>
      <w:pPr>
        <w:pStyle w:val="3"/>
        <w:numPr>
          <w:ilvl w:val="0"/>
          <w:numId w:val="0"/>
        </w:numPr>
        <w:ind w:left="180"/>
      </w:pPr>
      <w:bookmarkStart w:id="138" w:name="_Toc424999160"/>
      <w:bookmarkStart w:id="139" w:name="_Toc457880675"/>
      <w:bookmarkStart w:id="140" w:name="_Toc12282"/>
      <w:bookmarkStart w:id="141" w:name="_Toc304945656"/>
      <w:r>
        <w:rPr>
          <w:rFonts w:hint="eastAsia"/>
        </w:rPr>
        <w:t xml:space="preserve"> </w:t>
      </w:r>
      <w:r>
        <w:rPr>
          <w:rFonts w:hint="eastAsia" w:ascii="宋体" w:hAnsi="宋体" w:eastAsia="宋体"/>
        </w:rPr>
        <w:t>系统拓扑</w:t>
      </w:r>
      <w:bookmarkEnd w:id="138"/>
      <w:bookmarkEnd w:id="139"/>
      <w:bookmarkEnd w:id="140"/>
      <w:bookmarkEnd w:id="141"/>
    </w:p>
    <w:p>
      <w:pPr>
        <w:spacing w:line="360" w:lineRule="auto"/>
        <w:ind w:firstLine="420"/>
      </w:pPr>
      <w:r>
        <w:rPr>
          <w:rFonts w:hint="eastAsia"/>
        </w:rPr>
        <w:t>根据系统主要技术、功能指标和业务流程的设计要求，系统拓扑结构设计如下图所示。从图中可以看出，系统共分为5个区域：服务器机房、海关主控制室、查验流水线区域、开拆查验区和收货区。</w:t>
      </w:r>
    </w:p>
    <w:p>
      <w:pPr>
        <w:spacing w:line="360" w:lineRule="auto"/>
        <w:ind w:firstLine="420"/>
      </w:pPr>
      <w:r>
        <w:rPr>
          <w:rFonts w:hint="eastAsia"/>
        </w:rPr>
        <w:t>快件查验平台主要由以下几个部分组成：货物监管集中查验系统服务器、快件查验X光机图像数据服务器、X光检查设备与本地控制、快件X光机操作员工作站、管理工作站、货物监管集中查验系统流水线、快件扫描工作站、PLC线体控制柜。</w:t>
      </w:r>
    </w:p>
    <w:p>
      <w:pPr>
        <w:spacing w:line="360" w:lineRule="auto"/>
        <w:ind w:firstLine="420"/>
      </w:pPr>
      <w:r>
        <w:rPr>
          <w:rFonts w:hint="eastAsia"/>
        </w:rPr>
        <w:t>与货物监管集中查验系统进行数据交互的外部系统主要是：海关快件通关服务器与本地货物监管集中查验系统服务器进行EDI报关数据同步，其实现可按照现行的中间数据库传输方式进行，也可按照许昌海关实际情况进行定制。</w:t>
      </w:r>
    </w:p>
    <w:p>
      <w:pPr>
        <w:spacing w:line="360" w:lineRule="auto"/>
        <w:ind w:firstLine="420"/>
      </w:pPr>
    </w:p>
    <w:p>
      <w:pPr>
        <w:spacing w:line="360" w:lineRule="auto"/>
        <w:ind w:firstLine="420"/>
        <w:jc w:val="center"/>
      </w:pPr>
      <w:r>
        <w:rPr>
          <w:rFonts w:hint="eastAsia"/>
        </w:rPr>
        <w:t>系统拓扑图</w:t>
      </w:r>
    </w:p>
    <w:p>
      <w:pPr>
        <w:widowControl/>
        <w:spacing w:line="360" w:lineRule="auto"/>
        <w:ind w:left="-283" w:leftChars="-135" w:right="-333" w:rightChars="-159"/>
        <w:jc w:val="left"/>
        <w:sectPr>
          <w:pgSz w:w="11906" w:h="16838"/>
          <w:pgMar w:top="1440" w:right="1797" w:bottom="1440" w:left="1797" w:header="851" w:footer="992" w:gutter="0"/>
          <w:pgNumType w:fmt="decimal"/>
          <w:cols w:space="720" w:num="1"/>
          <w:docGrid w:type="lines" w:linePitch="312" w:charSpace="0"/>
        </w:sectPr>
      </w:pPr>
      <w:r>
        <w:rPr>
          <w:rFonts w:hint="eastAsia"/>
        </w:rPr>
        <w:t xml:space="preserve"> </w:t>
      </w:r>
      <w:r>
        <w:drawing>
          <wp:inline distT="0" distB="0" distL="114300" distR="114300">
            <wp:extent cx="5575300" cy="2138045"/>
            <wp:effectExtent l="0" t="0" r="6350" b="14605"/>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17"/>
                    <a:stretch>
                      <a:fillRect/>
                    </a:stretch>
                  </pic:blipFill>
                  <pic:spPr>
                    <a:xfrm>
                      <a:off x="0" y="0"/>
                      <a:ext cx="5575300" cy="2138045"/>
                    </a:xfrm>
                    <a:prstGeom prst="rect">
                      <a:avLst/>
                    </a:prstGeom>
                    <a:noFill/>
                    <a:ln w="9525">
                      <a:noFill/>
                    </a:ln>
                  </pic:spPr>
                </pic:pic>
              </a:graphicData>
            </a:graphic>
          </wp:inline>
        </w:drawing>
      </w:r>
    </w:p>
    <w:p>
      <w:pPr>
        <w:numPr>
          <w:ilvl w:val="0"/>
          <w:numId w:val="15"/>
        </w:numPr>
        <w:spacing w:line="360" w:lineRule="auto"/>
        <w:jc w:val="left"/>
      </w:pPr>
      <w:bookmarkStart w:id="142" w:name="_Toc240387572"/>
      <w:r>
        <w:rPr>
          <w:rFonts w:hint="eastAsia"/>
        </w:rPr>
        <w:t>海关快件通关服务器</w:t>
      </w:r>
      <w:bookmarkEnd w:id="142"/>
    </w:p>
    <w:p>
      <w:pPr>
        <w:spacing w:line="360" w:lineRule="auto"/>
        <w:ind w:left="840" w:firstLine="420"/>
        <w:jc w:val="left"/>
      </w:pPr>
      <w:r>
        <w:rPr>
          <w:rFonts w:hint="eastAsia"/>
        </w:rPr>
        <w:t>海关快件通关服务器（以下简称“快件管理系统”）由海关总署信息中心负责管理，主要功能包括汇总全国各地快件报关单数据，定时更新至各地快件监管中心本地数据服务器，同时收集快件查验结果。</w:t>
      </w:r>
    </w:p>
    <w:p>
      <w:pPr>
        <w:numPr>
          <w:ilvl w:val="0"/>
          <w:numId w:val="15"/>
        </w:numPr>
        <w:spacing w:line="360" w:lineRule="auto"/>
        <w:jc w:val="left"/>
      </w:pPr>
      <w:bookmarkStart w:id="143" w:name="_Toc240387573"/>
      <w:r>
        <w:rPr>
          <w:rFonts w:hint="eastAsia"/>
        </w:rPr>
        <w:t>本地货物监管集中查验系统服务器</w:t>
      </w:r>
      <w:bookmarkEnd w:id="143"/>
    </w:p>
    <w:p>
      <w:pPr>
        <w:spacing w:line="360" w:lineRule="auto"/>
        <w:ind w:left="840" w:firstLine="420"/>
        <w:jc w:val="left"/>
      </w:pPr>
      <w:r>
        <w:rPr>
          <w:rFonts w:hint="eastAsia"/>
        </w:rPr>
        <w:t>本地货物监管集中查验系统服务器（以下简称“本地系统服务器”），由各地方海关负责分配海关网络地址和监管。利用海关总署信息中心开发的应用程序，可以实现本地服务器与快件通关系统的定时数据同步，接收快件审单后的EDI报关数据，并反馈查验结果。</w:t>
      </w:r>
    </w:p>
    <w:p>
      <w:pPr>
        <w:spacing w:line="360" w:lineRule="auto"/>
        <w:ind w:left="840" w:firstLine="420"/>
        <w:jc w:val="left"/>
      </w:pPr>
      <w:r>
        <w:rPr>
          <w:rFonts w:hint="eastAsia"/>
        </w:rPr>
        <w:t>在货物监管集中查验系统内部，本地服务器与快件查验平台数据服务器（以下简称“X光机服务器”）同步快件报关单数据，提供快件查验所需报关单信息，更新快件查验结果数据。</w:t>
      </w:r>
    </w:p>
    <w:p>
      <w:pPr>
        <w:spacing w:line="360" w:lineRule="auto"/>
        <w:ind w:left="840" w:firstLine="420"/>
        <w:jc w:val="left"/>
        <w:rPr>
          <w:b/>
        </w:rPr>
      </w:pPr>
      <w:r>
        <w:rPr>
          <w:rFonts w:hint="eastAsia"/>
        </w:rPr>
        <w:t>向输送流水线提供快件查验结果，以实现快件自动分拣。</w:t>
      </w:r>
      <w:r>
        <w:rPr>
          <w:rFonts w:hint="eastAsia"/>
          <w:b/>
        </w:rPr>
        <w:tab/>
      </w:r>
      <w:r>
        <w:rPr>
          <w:rFonts w:hint="eastAsia"/>
          <w:b/>
        </w:rPr>
        <w:tab/>
      </w:r>
    </w:p>
    <w:p>
      <w:pPr>
        <w:numPr>
          <w:ilvl w:val="0"/>
          <w:numId w:val="15"/>
        </w:numPr>
        <w:spacing w:line="360" w:lineRule="auto"/>
        <w:jc w:val="left"/>
      </w:pPr>
      <w:bookmarkStart w:id="144" w:name="_Toc240387574"/>
      <w:r>
        <w:rPr>
          <w:rFonts w:hint="eastAsia"/>
        </w:rPr>
        <w:t>货物监管集中查验系统X 光机图像数据服务器</w:t>
      </w:r>
      <w:bookmarkEnd w:id="144"/>
    </w:p>
    <w:p>
      <w:pPr>
        <w:spacing w:line="360" w:lineRule="auto"/>
        <w:ind w:left="840"/>
        <w:jc w:val="left"/>
      </w:pPr>
      <w:r>
        <w:rPr>
          <w:rFonts w:hint="eastAsia"/>
        </w:rPr>
        <w:t>货物监管集中查验系统X光机图像数据服务器（以下简称“X光机服务器”）主要功能包括：</w:t>
      </w:r>
    </w:p>
    <w:p>
      <w:pPr>
        <w:numPr>
          <w:ilvl w:val="0"/>
          <w:numId w:val="16"/>
        </w:numPr>
        <w:spacing w:line="360" w:lineRule="auto"/>
        <w:jc w:val="left"/>
      </w:pPr>
      <w:r>
        <w:rPr>
          <w:rFonts w:hint="eastAsia"/>
        </w:rPr>
        <w:t>与本地系统服务器同步快件报关单及查验数据（含机检、开拆查验）；</w:t>
      </w:r>
    </w:p>
    <w:p>
      <w:pPr>
        <w:numPr>
          <w:ilvl w:val="0"/>
          <w:numId w:val="16"/>
        </w:numPr>
        <w:spacing w:line="360" w:lineRule="auto"/>
      </w:pPr>
      <w:r>
        <w:rPr>
          <w:rFonts w:hint="eastAsia"/>
        </w:rPr>
        <w:t>接收X光检查设备发送的X光图像，结合相应报关单数据，分发至快件机检工作站进行判读，并对判读流程进行有效管理；</w:t>
      </w:r>
    </w:p>
    <w:p>
      <w:pPr>
        <w:numPr>
          <w:ilvl w:val="0"/>
          <w:numId w:val="16"/>
        </w:numPr>
        <w:spacing w:line="360" w:lineRule="auto"/>
        <w:jc w:val="left"/>
      </w:pPr>
      <w:r>
        <w:rPr>
          <w:rFonts w:hint="eastAsia"/>
        </w:rPr>
        <w:t>为快件机检工作站、开拆查验站、管理工作站提供数据存储和查询服务。</w:t>
      </w:r>
    </w:p>
    <w:p>
      <w:pPr>
        <w:numPr>
          <w:ilvl w:val="0"/>
          <w:numId w:val="16"/>
        </w:numPr>
        <w:spacing w:line="360" w:lineRule="auto"/>
        <w:jc w:val="left"/>
      </w:pPr>
      <w:r>
        <w:rPr>
          <w:rFonts w:hint="eastAsia"/>
        </w:rPr>
        <w:t>保存动态称重模块反馈结果（可选）；</w:t>
      </w:r>
    </w:p>
    <w:p>
      <w:pPr>
        <w:numPr>
          <w:ilvl w:val="0"/>
          <w:numId w:val="15"/>
        </w:numPr>
        <w:spacing w:line="360" w:lineRule="auto"/>
        <w:jc w:val="left"/>
      </w:pPr>
      <w:bookmarkStart w:id="145" w:name="_Toc240387575"/>
      <w:r>
        <w:rPr>
          <w:rFonts w:hint="eastAsia"/>
        </w:rPr>
        <w:t>X光检查设备与本地控制</w:t>
      </w:r>
      <w:bookmarkEnd w:id="145"/>
    </w:p>
    <w:p>
      <w:pPr>
        <w:spacing w:line="360" w:lineRule="auto"/>
        <w:ind w:left="840" w:firstLine="420"/>
        <w:jc w:val="left"/>
      </w:pPr>
      <w:r>
        <w:rPr>
          <w:rFonts w:hint="eastAsia"/>
        </w:rPr>
        <w:t>X光检查设备扫描快件，并将生成的X光图像发送至X光机服务器。本地控制可以实现设备开机、关机，并在快件机检工作站或网络出现故障时提供本地判读功能。</w:t>
      </w:r>
    </w:p>
    <w:p>
      <w:pPr>
        <w:numPr>
          <w:ilvl w:val="0"/>
          <w:numId w:val="15"/>
        </w:numPr>
        <w:spacing w:line="360" w:lineRule="auto"/>
        <w:jc w:val="left"/>
      </w:pPr>
      <w:bookmarkStart w:id="146" w:name="_Toc240387576"/>
      <w:r>
        <w:rPr>
          <w:rFonts w:hint="eastAsia"/>
        </w:rPr>
        <w:t>快件扫描工作站</w:t>
      </w:r>
    </w:p>
    <w:p>
      <w:pPr>
        <w:spacing w:line="360" w:lineRule="auto"/>
        <w:jc w:val="left"/>
      </w:pPr>
      <w:r>
        <w:rPr>
          <w:rFonts w:hint="eastAsia"/>
        </w:rPr>
        <w:t xml:space="preserve">           扫描上线快件的条码，处理得到分运单号。</w:t>
      </w:r>
    </w:p>
    <w:p>
      <w:pPr>
        <w:numPr>
          <w:ilvl w:val="0"/>
          <w:numId w:val="15"/>
        </w:numPr>
        <w:spacing w:line="360" w:lineRule="auto"/>
        <w:jc w:val="left"/>
      </w:pPr>
      <w:r>
        <w:rPr>
          <w:rFonts w:hint="eastAsia"/>
        </w:rPr>
        <w:t>快件X光机操作员工作站</w:t>
      </w:r>
      <w:bookmarkEnd w:id="146"/>
    </w:p>
    <w:p>
      <w:pPr>
        <w:spacing w:line="360" w:lineRule="auto"/>
        <w:ind w:left="840" w:firstLine="420"/>
        <w:jc w:val="left"/>
      </w:pPr>
      <w:r>
        <w:rPr>
          <w:rFonts w:hint="eastAsia"/>
        </w:rPr>
        <w:t>同屏显示快件X光图像及对应的报关单数据，提供图像处理功能，在由海关关员判读后自动将查验结果反馈至查验系统服务器。每个查验流水线（含1套X光检查设备）可以配置1个或1个以上快件机检工作站。</w:t>
      </w:r>
    </w:p>
    <w:p>
      <w:pPr>
        <w:numPr>
          <w:ilvl w:val="0"/>
          <w:numId w:val="15"/>
        </w:numPr>
        <w:spacing w:line="360" w:lineRule="auto"/>
        <w:jc w:val="left"/>
      </w:pPr>
      <w:bookmarkStart w:id="147" w:name="_Toc240387578"/>
      <w:r>
        <w:rPr>
          <w:rFonts w:hint="eastAsia"/>
        </w:rPr>
        <w:t>管理工作站</w:t>
      </w:r>
    </w:p>
    <w:p>
      <w:pPr>
        <w:spacing w:line="360" w:lineRule="auto"/>
        <w:ind w:left="840" w:firstLine="420"/>
      </w:pPr>
      <w:r>
        <w:rPr>
          <w:rFonts w:hint="eastAsia"/>
        </w:rPr>
        <w:t>实时显示查验流水线的工作状态，并控制流水线的启停、模式选择。</w:t>
      </w:r>
    </w:p>
    <w:p>
      <w:pPr>
        <w:spacing w:line="360" w:lineRule="auto"/>
        <w:ind w:left="840" w:firstLine="420"/>
      </w:pPr>
      <w:r>
        <w:rPr>
          <w:rFonts w:hint="eastAsia"/>
        </w:rPr>
        <w:t>为用户提供海关快件布控查验信息管理、报关单数据同步、检索查询及导出快件查验数据、和快件查验数据报表等功能；</w:t>
      </w:r>
    </w:p>
    <w:p>
      <w:pPr>
        <w:numPr>
          <w:ilvl w:val="0"/>
          <w:numId w:val="15"/>
        </w:numPr>
        <w:spacing w:line="360" w:lineRule="auto"/>
        <w:jc w:val="left"/>
      </w:pPr>
      <w:r>
        <w:rPr>
          <w:rFonts w:hint="eastAsia"/>
        </w:rPr>
        <w:t>线体控制系统</w:t>
      </w:r>
    </w:p>
    <w:p>
      <w:pPr>
        <w:spacing w:line="360" w:lineRule="auto"/>
        <w:ind w:left="840" w:firstLine="420"/>
      </w:pPr>
      <w:r>
        <w:rPr>
          <w:rFonts w:hint="eastAsia"/>
        </w:rPr>
        <w:t>通过对流水线各个检测点信号的采集，实施图形化反映系统各节点的工作状态，更直观的提示操作人员及时发现和处理故障。</w:t>
      </w:r>
    </w:p>
    <w:p>
      <w:pPr>
        <w:spacing w:line="360" w:lineRule="auto"/>
        <w:ind w:left="840" w:firstLine="420"/>
      </w:pPr>
      <w:r>
        <w:rPr>
          <w:rFonts w:hint="eastAsia"/>
        </w:rPr>
        <w:t>将控制软件采集到的信息进行统一处理，并与查验系统服务器进行信息交互，将查验系统服务器的信息实时转给控制系统，以便控制系统进行确定地分流操作。</w:t>
      </w:r>
    </w:p>
    <w:p>
      <w:pPr>
        <w:numPr>
          <w:ilvl w:val="0"/>
          <w:numId w:val="15"/>
        </w:numPr>
        <w:spacing w:line="360" w:lineRule="auto"/>
        <w:jc w:val="left"/>
      </w:pPr>
      <w:r>
        <w:rPr>
          <w:rFonts w:hint="eastAsia"/>
        </w:rPr>
        <w:t>货物监管集中查验系统流水线</w:t>
      </w:r>
      <w:bookmarkEnd w:id="147"/>
    </w:p>
    <w:p>
      <w:pPr>
        <w:spacing w:line="360" w:lineRule="auto"/>
        <w:ind w:left="840" w:firstLine="420"/>
        <w:jc w:val="left"/>
      </w:pPr>
      <w:r>
        <w:rPr>
          <w:rFonts w:hint="eastAsia"/>
        </w:rPr>
        <w:t>货物监管集中查验系统流水线包括快件输送及自动分拣所需的上货滚筒、皮带输送机、快件分拣移载机、垂直提升机和滑槽等功能模块。</w:t>
      </w:r>
    </w:p>
    <w:p>
      <w:pPr>
        <w:spacing w:line="360" w:lineRule="auto"/>
        <w:ind w:left="840" w:firstLine="420"/>
        <w:jc w:val="left"/>
      </w:pPr>
      <w:r>
        <w:rPr>
          <w:rFonts w:hint="eastAsia"/>
        </w:rPr>
        <w:t>快件间距调整模块可以保证快件之间保持足够距离，以满足快件分割及通过率匹配要求。</w:t>
      </w:r>
    </w:p>
    <w:p>
      <w:pPr>
        <w:spacing w:line="360" w:lineRule="auto"/>
        <w:ind w:left="840" w:firstLine="420"/>
        <w:jc w:val="left"/>
      </w:pPr>
      <w:r>
        <w:rPr>
          <w:rFonts w:hint="eastAsia"/>
        </w:rPr>
        <w:t>快件分拣正位模块可以将快件调整至靠近流水线分拣口一侧，有利于分路器完成自动分拣动作。如未配置快件分拣正位模块，则应要求在快件查验平台流水线入口人工放置快件时，应尽量靠近流水线分拣口一侧。</w:t>
      </w:r>
    </w:p>
    <w:p>
      <w:pPr>
        <w:pStyle w:val="3"/>
        <w:numPr>
          <w:ilvl w:val="0"/>
          <w:numId w:val="0"/>
        </w:numPr>
        <w:ind w:left="180"/>
      </w:pPr>
      <w:bookmarkStart w:id="148" w:name="_Toc304945657"/>
      <w:bookmarkStart w:id="149" w:name="_Toc457880676"/>
      <w:bookmarkStart w:id="150" w:name="_Toc3516"/>
      <w:bookmarkStart w:id="151" w:name="_Toc424999161"/>
      <w:r>
        <w:rPr>
          <w:rFonts w:hint="eastAsia"/>
        </w:rPr>
        <w:t xml:space="preserve"> </w:t>
      </w:r>
      <w:r>
        <w:rPr>
          <w:rFonts w:hint="eastAsia" w:ascii="宋体" w:hAnsi="宋体" w:eastAsia="宋体"/>
        </w:rPr>
        <w:t>在线查验业务流程</w:t>
      </w:r>
      <w:bookmarkEnd w:id="148"/>
      <w:bookmarkEnd w:id="149"/>
      <w:bookmarkEnd w:id="150"/>
      <w:bookmarkEnd w:id="151"/>
    </w:p>
    <w:p>
      <w:pPr>
        <w:numPr>
          <w:ilvl w:val="0"/>
          <w:numId w:val="17"/>
        </w:numPr>
        <w:spacing w:line="360" w:lineRule="auto"/>
        <w:jc w:val="left"/>
      </w:pPr>
      <w:bookmarkStart w:id="152" w:name="_Toc304945659"/>
      <w:r>
        <w:rPr>
          <w:rFonts w:hint="eastAsia"/>
        </w:rPr>
        <w:t>假设条件</w:t>
      </w:r>
    </w:p>
    <w:p>
      <w:pPr>
        <w:spacing w:line="360" w:lineRule="auto"/>
        <w:ind w:firstLine="420"/>
        <w:jc w:val="left"/>
      </w:pPr>
      <w:r>
        <w:rPr>
          <w:rFonts w:hint="eastAsia"/>
        </w:rPr>
        <w:t>海关快件通关服务器已经将具有审单指令的报关单信息通过海关内部网同步至本地海关快件物流服务器。</w:t>
      </w:r>
    </w:p>
    <w:p>
      <w:pPr>
        <w:spacing w:line="360" w:lineRule="auto"/>
        <w:ind w:firstLine="420"/>
        <w:jc w:val="left"/>
      </w:pPr>
      <w:r>
        <w:rPr>
          <w:rFonts w:hint="eastAsia"/>
        </w:rPr>
        <w:t>海关关员已经对需要布控查验的报关单，通过快件查验平台中的管理工作站进行布控设置。</w:t>
      </w:r>
    </w:p>
    <w:p>
      <w:pPr>
        <w:spacing w:line="360" w:lineRule="auto"/>
        <w:ind w:firstLine="441" w:firstLineChars="210"/>
        <w:jc w:val="left"/>
      </w:pPr>
      <w:r>
        <w:rPr>
          <w:rFonts w:hint="eastAsia"/>
        </w:rPr>
        <w:t>在通关查验前，快件公司员工已通过对讲系统联络监控室，由监控室内海关关员启动平台运行。在X光机检查完毕后，关员关闭X光机控制系统。</w:t>
      </w:r>
    </w:p>
    <w:p>
      <w:pPr>
        <w:numPr>
          <w:ilvl w:val="0"/>
          <w:numId w:val="17"/>
        </w:numPr>
        <w:spacing w:line="360" w:lineRule="auto"/>
        <w:jc w:val="left"/>
      </w:pPr>
      <w:r>
        <w:rPr>
          <w:rFonts w:hint="eastAsia"/>
        </w:rPr>
        <w:t>业务流程概述</w:t>
      </w:r>
    </w:p>
    <w:p>
      <w:pPr>
        <w:spacing w:line="360" w:lineRule="auto"/>
        <w:ind w:firstLine="441" w:firstLineChars="210"/>
        <w:jc w:val="left"/>
      </w:pPr>
      <w:r>
        <w:rPr>
          <w:rFonts w:hint="eastAsia"/>
        </w:rPr>
        <w:t>系统通过快件条码信息获得对应报关单信息，报关单信息和X光图像通过网络传输同屏显示在海关监控机房的对应监控终端上，海关关员依据快件X光图像和报关单信息进行判别决定是否对放行或开拆查验。</w:t>
      </w:r>
    </w:p>
    <w:p>
      <w:pPr>
        <w:spacing w:line="360" w:lineRule="auto"/>
        <w:ind w:firstLine="420"/>
        <w:jc w:val="left"/>
      </w:pPr>
      <w:r>
        <w:rPr>
          <w:rFonts w:hint="eastAsia"/>
        </w:rPr>
        <w:t>业务流程图如下图所示：</w:t>
      </w:r>
    </w:p>
    <w:p>
      <w:pPr>
        <w:spacing w:line="360" w:lineRule="auto"/>
        <w:ind w:left="-567" w:leftChars="-270"/>
        <w:jc w:val="center"/>
      </w:pPr>
      <w:r>
        <w:drawing>
          <wp:inline distT="0" distB="0" distL="114300" distR="114300">
            <wp:extent cx="5460365" cy="6209030"/>
            <wp:effectExtent l="0" t="0" r="6985" b="1270"/>
            <wp:docPr id="1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0"/>
                    <pic:cNvPicPr>
                      <a:picLocks noChangeAspect="1"/>
                    </pic:cNvPicPr>
                  </pic:nvPicPr>
                  <pic:blipFill>
                    <a:blip r:embed="rId18"/>
                    <a:srcRect l="3271" r="3030" b="2895"/>
                    <a:stretch>
                      <a:fillRect/>
                    </a:stretch>
                  </pic:blipFill>
                  <pic:spPr>
                    <a:xfrm>
                      <a:off x="0" y="0"/>
                      <a:ext cx="5460365" cy="6209030"/>
                    </a:xfrm>
                    <a:prstGeom prst="rect">
                      <a:avLst/>
                    </a:prstGeom>
                    <a:noFill/>
                    <a:ln w="9525">
                      <a:noFill/>
                    </a:ln>
                  </pic:spPr>
                </pic:pic>
              </a:graphicData>
            </a:graphic>
          </wp:inline>
        </w:drawing>
      </w:r>
    </w:p>
    <w:p>
      <w:pPr>
        <w:numPr>
          <w:ilvl w:val="0"/>
          <w:numId w:val="17"/>
        </w:numPr>
        <w:spacing w:before="120" w:beforeLines="50" w:after="120" w:afterLines="50" w:line="360" w:lineRule="auto"/>
        <w:jc w:val="left"/>
      </w:pPr>
      <w:r>
        <w:rPr>
          <w:rFonts w:hint="eastAsia"/>
        </w:rPr>
        <w:t>业务流程详细描述</w:t>
      </w:r>
    </w:p>
    <w:p>
      <w:pPr>
        <w:numPr>
          <w:ilvl w:val="0"/>
          <w:numId w:val="18"/>
        </w:numPr>
        <w:spacing w:line="360" w:lineRule="auto"/>
      </w:pPr>
      <w:r>
        <w:rPr>
          <w:rFonts w:hint="eastAsia"/>
        </w:rPr>
        <w:t>快件公司在监管库区将准备上线快件（指已报关并且审单指令为 “查验”的快件, 在100%查验时为全部快件）放置在输送线上，暂未申报的快件放置在待报关区。</w:t>
      </w:r>
    </w:p>
    <w:p>
      <w:pPr>
        <w:numPr>
          <w:ilvl w:val="0"/>
          <w:numId w:val="18"/>
        </w:numPr>
        <w:spacing w:line="360" w:lineRule="auto"/>
      </w:pPr>
      <w:r>
        <w:rPr>
          <w:rFonts w:hint="eastAsia"/>
        </w:rPr>
        <w:t>快件进入输送线，到达入口工作站时，快件公司使用无线条码阅读器（或有线扫描枪）扫描快件条形码，并将快件条形码信息通过无线方式（或有线网络方式）传送给查验平台。</w:t>
      </w:r>
    </w:p>
    <w:p>
      <w:pPr>
        <w:numPr>
          <w:ilvl w:val="0"/>
          <w:numId w:val="18"/>
        </w:numPr>
        <w:spacing w:line="360" w:lineRule="auto"/>
      </w:pPr>
      <w:r>
        <w:rPr>
          <w:rFonts w:hint="eastAsia"/>
        </w:rPr>
        <w:t>可选步骤：快件经动态称重和放射性物质检测后，检测结果自动与对应的快件报关单数据进行关联。</w:t>
      </w:r>
    </w:p>
    <w:p>
      <w:pPr>
        <w:numPr>
          <w:ilvl w:val="1"/>
          <w:numId w:val="18"/>
        </w:numPr>
        <w:spacing w:line="360" w:lineRule="auto"/>
      </w:pPr>
      <w:r>
        <w:rPr>
          <w:rFonts w:hint="eastAsia"/>
        </w:rPr>
        <w:t>在称重超标时，系统自动报警，转置现场人员处理，流程终止。</w:t>
      </w:r>
    </w:p>
    <w:p>
      <w:pPr>
        <w:numPr>
          <w:ilvl w:val="1"/>
          <w:numId w:val="18"/>
        </w:numPr>
        <w:spacing w:line="360" w:lineRule="auto"/>
      </w:pPr>
      <w:r>
        <w:rPr>
          <w:rFonts w:hint="eastAsia"/>
        </w:rPr>
        <w:t>系统经放射性物质检测异常时，系统自动报警，转置现场人员处理，流程终止。</w:t>
      </w:r>
    </w:p>
    <w:p>
      <w:pPr>
        <w:numPr>
          <w:ilvl w:val="0"/>
          <w:numId w:val="18"/>
        </w:numPr>
        <w:spacing w:line="360" w:lineRule="auto"/>
      </w:pPr>
      <w:r>
        <w:rPr>
          <w:rFonts w:hint="eastAsia"/>
        </w:rPr>
        <w:t>快件通过流水线自动进入X光检查设备接受扫描检查，生成的X光图像自动与对应的快件报关单信息关联存储。</w:t>
      </w:r>
    </w:p>
    <w:p>
      <w:pPr>
        <w:numPr>
          <w:ilvl w:val="0"/>
          <w:numId w:val="18"/>
        </w:numPr>
        <w:spacing w:line="360" w:lineRule="auto"/>
      </w:pPr>
      <w:r>
        <w:rPr>
          <w:rFonts w:hint="eastAsia"/>
        </w:rPr>
        <w:t>对于布控的快件，查验平台直接将其设置为“机检后开拆”，并经输送线分流传送至待开拆区。对于一票多件的快件，根据分单号和件数判断是否全部检查完毕，只要有一件布控开拆，之后上线的其余同票快件自动传送至待开拆区。</w:t>
      </w:r>
    </w:p>
    <w:p>
      <w:pPr>
        <w:numPr>
          <w:ilvl w:val="0"/>
          <w:numId w:val="18"/>
        </w:numPr>
        <w:spacing w:line="360" w:lineRule="auto"/>
      </w:pPr>
      <w:r>
        <w:rPr>
          <w:rFonts w:hint="eastAsia"/>
        </w:rPr>
        <w:t>对未布控的快件，查验平台将X光图像、报关单信息及称重等信息分发至机检工作站；</w:t>
      </w:r>
    </w:p>
    <w:p>
      <w:pPr>
        <w:numPr>
          <w:ilvl w:val="0"/>
          <w:numId w:val="18"/>
        </w:numPr>
        <w:spacing w:line="360" w:lineRule="auto"/>
      </w:pPr>
      <w:r>
        <w:rPr>
          <w:rFonts w:hint="eastAsia"/>
        </w:rPr>
        <w:t>在机检工作站，系统将X光图像、报关单等信息同屏显示在工作站的界面上。系统对于审单指令是“查验”的快件给予突出显示。</w:t>
      </w:r>
    </w:p>
    <w:p>
      <w:pPr>
        <w:numPr>
          <w:ilvl w:val="0"/>
          <w:numId w:val="18"/>
        </w:numPr>
        <w:spacing w:line="360" w:lineRule="auto"/>
      </w:pPr>
      <w:r>
        <w:rPr>
          <w:rFonts w:hint="eastAsia"/>
        </w:rPr>
        <w:t>机检关员根据报关单信息与X光图像对比进行判图，并通过机检工作站下达机检指令。</w:t>
      </w:r>
    </w:p>
    <w:p>
      <w:pPr>
        <w:numPr>
          <w:ilvl w:val="1"/>
          <w:numId w:val="18"/>
        </w:numPr>
        <w:spacing w:line="360" w:lineRule="auto"/>
      </w:pPr>
      <w:r>
        <w:rPr>
          <w:rFonts w:hint="eastAsia"/>
        </w:rPr>
        <w:t>对所有机检放行的快件，快件经输送线将快件传送至放行区；</w:t>
      </w:r>
    </w:p>
    <w:p>
      <w:pPr>
        <w:numPr>
          <w:ilvl w:val="1"/>
          <w:numId w:val="18"/>
        </w:numPr>
        <w:spacing w:line="360" w:lineRule="auto"/>
      </w:pPr>
      <w:r>
        <w:rPr>
          <w:rFonts w:hint="eastAsia"/>
        </w:rPr>
        <w:t>对所有机检开拆的快件，快件经输送线将快件传送至待开拆区；</w:t>
      </w:r>
    </w:p>
    <w:p>
      <w:pPr>
        <w:numPr>
          <w:ilvl w:val="0"/>
          <w:numId w:val="18"/>
        </w:numPr>
        <w:spacing w:line="360" w:lineRule="auto"/>
      </w:pPr>
      <w:r>
        <w:rPr>
          <w:rFonts w:hint="eastAsia"/>
        </w:rPr>
        <w:t>在开拆查验站，海关关员通过扫描快件条码或输入分运单号等查询条件，调阅X光图像和报关单等信息。</w:t>
      </w:r>
    </w:p>
    <w:p>
      <w:pPr>
        <w:numPr>
          <w:ilvl w:val="0"/>
          <w:numId w:val="18"/>
        </w:numPr>
        <w:spacing w:line="360" w:lineRule="auto"/>
      </w:pPr>
      <w:r>
        <w:rPr>
          <w:rFonts w:hint="eastAsia"/>
        </w:rPr>
        <w:t>海关关员根据系统显示的信息，对待开拆快件进行针对性查验，并登记开拆查验结果</w:t>
      </w:r>
    </w:p>
    <w:p>
      <w:pPr>
        <w:numPr>
          <w:ilvl w:val="0"/>
          <w:numId w:val="18"/>
        </w:numPr>
        <w:spacing w:line="360" w:lineRule="auto"/>
      </w:pPr>
      <w:r>
        <w:rPr>
          <w:rFonts w:hint="eastAsia"/>
        </w:rPr>
        <w:t>对于查验结果，系统自动回写到海关快件通关服务器。</w:t>
      </w:r>
    </w:p>
    <w:p>
      <w:pPr>
        <w:pStyle w:val="3"/>
        <w:numPr>
          <w:ilvl w:val="0"/>
          <w:numId w:val="0"/>
        </w:numPr>
        <w:ind w:left="180"/>
      </w:pPr>
      <w:bookmarkStart w:id="153" w:name="_Toc457880677"/>
      <w:bookmarkStart w:id="154" w:name="_Toc30915"/>
      <w:bookmarkStart w:id="155" w:name="_Toc410809589"/>
      <w:bookmarkStart w:id="156" w:name="_Toc424999162"/>
      <w:r>
        <w:rPr>
          <w:rFonts w:hint="eastAsia"/>
        </w:rPr>
        <w:t xml:space="preserve"> </w:t>
      </w:r>
      <w:r>
        <w:rPr>
          <w:rFonts w:hint="eastAsia" w:ascii="宋体" w:hAnsi="宋体" w:eastAsia="宋体"/>
        </w:rPr>
        <w:t>快速通关业务流程</w:t>
      </w:r>
      <w:bookmarkEnd w:id="153"/>
      <w:bookmarkEnd w:id="154"/>
      <w:bookmarkEnd w:id="155"/>
      <w:bookmarkEnd w:id="156"/>
    </w:p>
    <w:p>
      <w:pPr>
        <w:numPr>
          <w:ilvl w:val="0"/>
          <w:numId w:val="19"/>
        </w:numPr>
        <w:spacing w:line="360" w:lineRule="auto"/>
        <w:jc w:val="left"/>
      </w:pPr>
      <w:r>
        <w:rPr>
          <w:rFonts w:hint="eastAsia"/>
        </w:rPr>
        <w:t>假设条件</w:t>
      </w:r>
    </w:p>
    <w:p>
      <w:pPr>
        <w:spacing w:line="360" w:lineRule="auto"/>
        <w:ind w:firstLine="441" w:firstLineChars="210"/>
      </w:pPr>
      <w:r>
        <w:rPr>
          <w:rFonts w:hint="eastAsia"/>
        </w:rPr>
        <w:t>在通关查验前，快件公司员工已通过对讲系统联络监控室，由监控室内海关关员启动平台运行。在X光机检查完毕后，关员关闭X光机控制系统。</w:t>
      </w:r>
    </w:p>
    <w:p>
      <w:pPr>
        <w:numPr>
          <w:ilvl w:val="0"/>
          <w:numId w:val="19"/>
        </w:numPr>
        <w:spacing w:line="360" w:lineRule="auto"/>
        <w:jc w:val="left"/>
      </w:pPr>
      <w:r>
        <w:rPr>
          <w:rFonts w:hint="eastAsia"/>
        </w:rPr>
        <w:t>业务流程概述</w:t>
      </w:r>
    </w:p>
    <w:p>
      <w:pPr>
        <w:spacing w:line="360" w:lineRule="auto"/>
        <w:ind w:firstLine="441" w:firstLineChars="210"/>
      </w:pPr>
      <w:r>
        <w:rPr>
          <w:rFonts w:hint="eastAsia"/>
        </w:rPr>
        <w:t>快速通关模式是在特殊情况和条件下，不具备利用报关单信息对快件进行检查一种检查模式。在此模式下操作，不需要进行条码扫描，快件直接通过</w:t>
      </w:r>
      <w:r>
        <w:t xml:space="preserve">X </w:t>
      </w:r>
      <w:r>
        <w:rPr>
          <w:rFonts w:hint="eastAsia"/>
        </w:rPr>
        <w:t>光机，海关关员依据</w:t>
      </w:r>
      <w:r>
        <w:t>X</w:t>
      </w:r>
      <w:r>
        <w:rPr>
          <w:rFonts w:hint="eastAsia"/>
        </w:rPr>
        <w:t>图像决定是否对放行或开拆查验。</w:t>
      </w:r>
    </w:p>
    <w:p>
      <w:pPr>
        <w:spacing w:line="360" w:lineRule="auto"/>
        <w:ind w:left="-283" w:leftChars="-135" w:firstLine="281" w:firstLineChars="134"/>
        <w:jc w:val="left"/>
      </w:pPr>
      <w:r>
        <w:drawing>
          <wp:inline distT="0" distB="0" distL="114300" distR="114300">
            <wp:extent cx="5562600" cy="6360160"/>
            <wp:effectExtent l="0" t="0" r="0" b="0"/>
            <wp:docPr id="1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1"/>
                    <pic:cNvPicPr>
                      <a:picLocks noChangeAspect="1"/>
                    </pic:cNvPicPr>
                  </pic:nvPicPr>
                  <pic:blipFill>
                    <a:blip r:embed="rId19"/>
                    <a:srcRect l="3116" r="3258" b="2452"/>
                    <a:stretch>
                      <a:fillRect/>
                    </a:stretch>
                  </pic:blipFill>
                  <pic:spPr>
                    <a:xfrm>
                      <a:off x="0" y="0"/>
                      <a:ext cx="5562600" cy="6360160"/>
                    </a:xfrm>
                    <a:prstGeom prst="rect">
                      <a:avLst/>
                    </a:prstGeom>
                    <a:noFill/>
                    <a:ln w="9525">
                      <a:noFill/>
                    </a:ln>
                  </pic:spPr>
                </pic:pic>
              </a:graphicData>
            </a:graphic>
          </wp:inline>
        </w:drawing>
      </w:r>
    </w:p>
    <w:p>
      <w:pPr>
        <w:numPr>
          <w:ilvl w:val="0"/>
          <w:numId w:val="19"/>
        </w:numPr>
        <w:spacing w:line="360" w:lineRule="auto"/>
        <w:jc w:val="left"/>
      </w:pPr>
      <w:r>
        <w:rPr>
          <w:rFonts w:hint="eastAsia"/>
        </w:rPr>
        <w:t>业务流程详细描述</w:t>
      </w:r>
    </w:p>
    <w:p>
      <w:pPr>
        <w:numPr>
          <w:ilvl w:val="0"/>
          <w:numId w:val="20"/>
        </w:numPr>
        <w:spacing w:line="360" w:lineRule="auto"/>
      </w:pPr>
      <w:r>
        <w:rPr>
          <w:rFonts w:hint="eastAsia"/>
        </w:rPr>
        <w:t>快件公司在监管库区将准备上线快件（指已报关并且审单指令为 “查验”的快件, 在100%查验时为全部快件）放置在输送线上，暂未申报的快件放置在待报关区。</w:t>
      </w:r>
    </w:p>
    <w:p>
      <w:pPr>
        <w:numPr>
          <w:ilvl w:val="0"/>
          <w:numId w:val="20"/>
        </w:numPr>
        <w:spacing w:line="360" w:lineRule="auto"/>
      </w:pPr>
      <w:r>
        <w:rPr>
          <w:rFonts w:hint="eastAsia"/>
        </w:rPr>
        <w:t>快件进入输送线，到达入口工作站时，快件公司不使用无线条码阅读器，由流水线识别货物进入时，触发系统产生缺省快件条形码。</w:t>
      </w:r>
    </w:p>
    <w:p>
      <w:pPr>
        <w:numPr>
          <w:ilvl w:val="0"/>
          <w:numId w:val="20"/>
        </w:numPr>
        <w:spacing w:line="360" w:lineRule="auto"/>
      </w:pPr>
      <w:r>
        <w:rPr>
          <w:rFonts w:hint="eastAsia"/>
        </w:rPr>
        <w:t>快件通过流水线自动进入X光检查设备接受扫描检查。</w:t>
      </w:r>
    </w:p>
    <w:p>
      <w:pPr>
        <w:numPr>
          <w:ilvl w:val="0"/>
          <w:numId w:val="20"/>
        </w:numPr>
        <w:spacing w:line="360" w:lineRule="auto"/>
      </w:pPr>
      <w:r>
        <w:rPr>
          <w:rFonts w:hint="eastAsia"/>
        </w:rPr>
        <w:t>查验平台将X光图像及称重等信息分发至机检工作站；</w:t>
      </w:r>
    </w:p>
    <w:p>
      <w:pPr>
        <w:numPr>
          <w:ilvl w:val="0"/>
          <w:numId w:val="20"/>
        </w:numPr>
        <w:spacing w:line="360" w:lineRule="auto"/>
      </w:pPr>
      <w:r>
        <w:rPr>
          <w:rFonts w:hint="eastAsia"/>
        </w:rPr>
        <w:t>在机检工作站，系统将X光图像自动显示在工作站的界面上。</w:t>
      </w:r>
    </w:p>
    <w:p>
      <w:pPr>
        <w:numPr>
          <w:ilvl w:val="0"/>
          <w:numId w:val="20"/>
        </w:numPr>
        <w:spacing w:line="360" w:lineRule="auto"/>
      </w:pPr>
      <w:r>
        <w:rPr>
          <w:rFonts w:hint="eastAsia"/>
        </w:rPr>
        <w:t>机检关员对X光图像进行判读，并通过机检工作站下达机检指令。</w:t>
      </w:r>
    </w:p>
    <w:p>
      <w:pPr>
        <w:numPr>
          <w:ilvl w:val="1"/>
          <w:numId w:val="20"/>
        </w:numPr>
        <w:spacing w:line="360" w:lineRule="auto"/>
      </w:pPr>
      <w:r>
        <w:rPr>
          <w:rFonts w:hint="eastAsia"/>
        </w:rPr>
        <w:t>对所有机检放行的快件，快件经输送线将快件传送至放行区。</w:t>
      </w:r>
    </w:p>
    <w:p>
      <w:pPr>
        <w:numPr>
          <w:ilvl w:val="1"/>
          <w:numId w:val="20"/>
        </w:numPr>
        <w:spacing w:line="360" w:lineRule="auto"/>
      </w:pPr>
      <w:r>
        <w:rPr>
          <w:rFonts w:hint="eastAsia"/>
        </w:rPr>
        <w:t>对所有机检开拆的快件，快件经输送线将快件传送至海关查验区。</w:t>
      </w:r>
    </w:p>
    <w:p>
      <w:pPr>
        <w:numPr>
          <w:ilvl w:val="0"/>
          <w:numId w:val="19"/>
        </w:numPr>
        <w:spacing w:line="360" w:lineRule="auto"/>
        <w:jc w:val="left"/>
      </w:pPr>
      <w:r>
        <w:rPr>
          <w:rFonts w:hint="eastAsia"/>
        </w:rPr>
        <w:t>快件查验通过率估算</w:t>
      </w:r>
      <w:bookmarkEnd w:id="152"/>
    </w:p>
    <w:tbl>
      <w:tblPr>
        <w:tblStyle w:val="12"/>
        <w:tblW w:w="6950" w:type="dxa"/>
        <w:tblInd w:w="67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743"/>
        <w:gridCol w:w="1928"/>
        <w:gridCol w:w="1613"/>
        <w:gridCol w:w="166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6" w:hRule="atLeast"/>
        </w:trPr>
        <w:tc>
          <w:tcPr>
            <w:tcW w:w="1743" w:type="dxa"/>
            <w:tcBorders>
              <w:top w:val="single" w:color="000000" w:sz="4" w:space="0"/>
              <w:left w:val="single" w:color="000000" w:sz="4" w:space="0"/>
              <w:bottom w:val="single" w:color="000000" w:sz="4" w:space="0"/>
              <w:right w:val="single" w:color="000000" w:sz="4" w:space="0"/>
            </w:tcBorders>
            <w:shd w:val="clear" w:color="auto" w:fill="EEECE1"/>
            <w:tcMar>
              <w:top w:w="57" w:type="dxa"/>
              <w:left w:w="0" w:type="dxa"/>
              <w:bottom w:w="57" w:type="dxa"/>
              <w:right w:w="0" w:type="dxa"/>
            </w:tcMar>
            <w:vAlign w:val="center"/>
          </w:tcPr>
          <w:p>
            <w:pPr>
              <w:jc w:val="center"/>
              <w:rPr>
                <w:b/>
              </w:rPr>
            </w:pPr>
            <w:r>
              <w:rPr>
                <w:rFonts w:hint="eastAsia"/>
                <w:b/>
              </w:rPr>
              <w:t>快件平均长度</w:t>
            </w:r>
          </w:p>
          <w:p>
            <w:pPr>
              <w:jc w:val="center"/>
              <w:rPr>
                <w:b/>
              </w:rPr>
            </w:pPr>
            <w:r>
              <w:rPr>
                <w:rFonts w:hint="eastAsia"/>
                <w:b/>
              </w:rPr>
              <w:t>（毫米）</w:t>
            </w:r>
          </w:p>
        </w:tc>
        <w:tc>
          <w:tcPr>
            <w:tcW w:w="1928" w:type="dxa"/>
            <w:tcBorders>
              <w:top w:val="single" w:color="000000" w:sz="4" w:space="0"/>
              <w:left w:val="single" w:color="000000" w:sz="4" w:space="0"/>
              <w:bottom w:val="single" w:color="000000" w:sz="4" w:space="0"/>
              <w:right w:val="single" w:color="000000" w:sz="4" w:space="0"/>
            </w:tcBorders>
            <w:shd w:val="clear" w:color="auto" w:fill="EEECE1"/>
            <w:tcMar>
              <w:top w:w="57" w:type="dxa"/>
              <w:left w:w="0" w:type="dxa"/>
              <w:bottom w:w="57" w:type="dxa"/>
              <w:right w:w="0" w:type="dxa"/>
            </w:tcMar>
            <w:vAlign w:val="center"/>
          </w:tcPr>
          <w:p>
            <w:pPr>
              <w:jc w:val="center"/>
              <w:rPr>
                <w:b/>
              </w:rPr>
            </w:pPr>
            <w:r>
              <w:rPr>
                <w:rFonts w:hint="eastAsia"/>
                <w:b/>
              </w:rPr>
              <w:t>X光机/快件机检工作站配置比例</w:t>
            </w:r>
          </w:p>
        </w:tc>
        <w:tc>
          <w:tcPr>
            <w:tcW w:w="1613" w:type="dxa"/>
            <w:tcBorders>
              <w:top w:val="single" w:color="000000" w:sz="4" w:space="0"/>
              <w:left w:val="single" w:color="000000" w:sz="4" w:space="0"/>
              <w:bottom w:val="single" w:color="000000" w:sz="4" w:space="0"/>
              <w:right w:val="single" w:color="000000" w:sz="4" w:space="0"/>
            </w:tcBorders>
            <w:shd w:val="clear" w:color="auto" w:fill="EEECE1"/>
            <w:tcMar>
              <w:top w:w="57" w:type="dxa"/>
              <w:left w:w="0" w:type="dxa"/>
              <w:bottom w:w="57" w:type="dxa"/>
              <w:right w:w="0" w:type="dxa"/>
            </w:tcMar>
            <w:vAlign w:val="center"/>
          </w:tcPr>
          <w:p>
            <w:pPr>
              <w:jc w:val="center"/>
              <w:rPr>
                <w:b/>
              </w:rPr>
            </w:pPr>
            <w:r>
              <w:rPr>
                <w:rFonts w:hint="eastAsia"/>
                <w:b/>
              </w:rPr>
              <w:t>最大机检判读</w:t>
            </w:r>
          </w:p>
          <w:p>
            <w:pPr>
              <w:jc w:val="center"/>
              <w:rPr>
                <w:b/>
              </w:rPr>
            </w:pPr>
            <w:r>
              <w:rPr>
                <w:rFonts w:hint="eastAsia"/>
                <w:b/>
              </w:rPr>
              <w:t>时间（秒）</w:t>
            </w:r>
          </w:p>
        </w:tc>
        <w:tc>
          <w:tcPr>
            <w:tcW w:w="1666" w:type="dxa"/>
            <w:tcBorders>
              <w:top w:val="single" w:color="000000" w:sz="4" w:space="0"/>
              <w:left w:val="single" w:color="000000" w:sz="4" w:space="0"/>
              <w:bottom w:val="single" w:color="000000" w:sz="4" w:space="0"/>
              <w:right w:val="single" w:color="000000" w:sz="4" w:space="0"/>
            </w:tcBorders>
            <w:shd w:val="clear" w:color="auto" w:fill="EEECE1"/>
            <w:tcMar>
              <w:top w:w="57" w:type="dxa"/>
              <w:left w:w="0" w:type="dxa"/>
              <w:bottom w:w="57" w:type="dxa"/>
              <w:right w:w="0" w:type="dxa"/>
            </w:tcMar>
            <w:vAlign w:val="center"/>
          </w:tcPr>
          <w:p>
            <w:pPr>
              <w:jc w:val="center"/>
              <w:rPr>
                <w:b/>
              </w:rPr>
            </w:pPr>
            <w:r>
              <w:rPr>
                <w:rFonts w:hint="eastAsia"/>
                <w:b/>
              </w:rPr>
              <w:t>通过率</w:t>
            </w:r>
          </w:p>
          <w:p>
            <w:pPr>
              <w:jc w:val="center"/>
              <w:rPr>
                <w:b/>
              </w:rPr>
            </w:pPr>
            <w:r>
              <w:rPr>
                <w:rFonts w:hint="eastAsia"/>
                <w:b/>
              </w:rPr>
              <w:t>（件/小时）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6" w:hRule="atLeast"/>
        </w:trPr>
        <w:tc>
          <w:tcPr>
            <w:tcW w:w="1743" w:type="dxa"/>
            <w:tcBorders>
              <w:top w:val="single" w:color="000000" w:sz="4" w:space="0"/>
              <w:left w:val="single" w:color="000000" w:sz="4" w:space="0"/>
              <w:bottom w:val="single" w:color="000000" w:sz="4" w:space="0"/>
              <w:right w:val="single" w:color="000000" w:sz="4" w:space="0"/>
            </w:tcBorders>
            <w:vAlign w:val="center"/>
          </w:tcPr>
          <w:p>
            <w:pPr>
              <w:jc w:val="center"/>
              <w:rPr>
                <w:rFonts w:cs="Arial"/>
              </w:rPr>
            </w:pPr>
            <w:r>
              <w:rPr>
                <w:rFonts w:cs="Arial"/>
              </w:rPr>
              <w:t>200</w:t>
            </w:r>
          </w:p>
        </w:tc>
        <w:tc>
          <w:tcPr>
            <w:tcW w:w="1928" w:type="dxa"/>
            <w:tcBorders>
              <w:top w:val="single" w:color="000000" w:sz="4" w:space="0"/>
              <w:left w:val="single" w:color="000000" w:sz="4" w:space="0"/>
              <w:bottom w:val="single" w:color="000000" w:sz="4" w:space="0"/>
              <w:right w:val="single" w:color="000000" w:sz="4" w:space="0"/>
            </w:tcBorders>
            <w:vAlign w:val="center"/>
          </w:tcPr>
          <w:p>
            <w:pPr>
              <w:jc w:val="center"/>
              <w:rPr>
                <w:rFonts w:cs="Arial"/>
              </w:rPr>
            </w:pPr>
            <w:r>
              <w:rPr>
                <w:rFonts w:cs="Arial"/>
              </w:rPr>
              <w:t>1:2</w:t>
            </w:r>
          </w:p>
        </w:tc>
        <w:tc>
          <w:tcPr>
            <w:tcW w:w="1613" w:type="dxa"/>
            <w:tcBorders>
              <w:top w:val="single" w:color="000000" w:sz="4" w:space="0"/>
              <w:left w:val="single" w:color="000000" w:sz="4" w:space="0"/>
              <w:bottom w:val="single" w:color="000000" w:sz="4" w:space="0"/>
              <w:right w:val="single" w:color="000000" w:sz="4" w:space="0"/>
            </w:tcBorders>
            <w:vAlign w:val="center"/>
          </w:tcPr>
          <w:p>
            <w:pPr>
              <w:jc w:val="center"/>
              <w:rPr>
                <w:rFonts w:cs="Arial"/>
              </w:rPr>
            </w:pPr>
            <w:r>
              <w:rPr>
                <w:rFonts w:cs="Arial"/>
              </w:rPr>
              <w:t>6</w:t>
            </w:r>
          </w:p>
        </w:tc>
        <w:tc>
          <w:tcPr>
            <w:tcW w:w="1666" w:type="dxa"/>
            <w:tcBorders>
              <w:top w:val="single" w:color="000000" w:sz="4" w:space="0"/>
              <w:left w:val="single" w:color="000000" w:sz="4" w:space="0"/>
              <w:bottom w:val="single" w:color="000000" w:sz="4" w:space="0"/>
              <w:right w:val="single" w:color="000000" w:sz="4" w:space="0"/>
            </w:tcBorders>
            <w:vAlign w:val="center"/>
          </w:tcPr>
          <w:p>
            <w:pPr>
              <w:jc w:val="center"/>
              <w:rPr>
                <w:rFonts w:cs="Arial"/>
              </w:rPr>
            </w:pPr>
            <w:r>
              <w:rPr>
                <w:rFonts w:hint="eastAsia" w:cs="Arial"/>
              </w:rPr>
              <w:t>9</w:t>
            </w:r>
            <w:r>
              <w:rPr>
                <w:rFonts w:cs="Arial"/>
              </w:rPr>
              <w:t>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6" w:hRule="atLeast"/>
        </w:trPr>
        <w:tc>
          <w:tcPr>
            <w:tcW w:w="1743" w:type="dxa"/>
            <w:tcBorders>
              <w:top w:val="single" w:color="000000" w:sz="4" w:space="0"/>
              <w:left w:val="single" w:color="000000" w:sz="4" w:space="0"/>
              <w:bottom w:val="single" w:color="000000" w:sz="4" w:space="0"/>
              <w:right w:val="single" w:color="000000" w:sz="4" w:space="0"/>
            </w:tcBorders>
            <w:vAlign w:val="center"/>
          </w:tcPr>
          <w:p>
            <w:pPr>
              <w:jc w:val="center"/>
              <w:rPr>
                <w:rFonts w:cs="Arial"/>
              </w:rPr>
            </w:pPr>
            <w:r>
              <w:rPr>
                <w:rFonts w:cs="Arial"/>
              </w:rPr>
              <w:t>400</w:t>
            </w:r>
          </w:p>
        </w:tc>
        <w:tc>
          <w:tcPr>
            <w:tcW w:w="1928" w:type="dxa"/>
            <w:tcBorders>
              <w:top w:val="single" w:color="000000" w:sz="4" w:space="0"/>
              <w:left w:val="single" w:color="000000" w:sz="4" w:space="0"/>
              <w:bottom w:val="single" w:color="000000" w:sz="4" w:space="0"/>
              <w:right w:val="single" w:color="000000" w:sz="4" w:space="0"/>
            </w:tcBorders>
            <w:vAlign w:val="center"/>
          </w:tcPr>
          <w:p>
            <w:pPr>
              <w:jc w:val="center"/>
              <w:rPr>
                <w:rFonts w:cs="Arial"/>
              </w:rPr>
            </w:pPr>
            <w:r>
              <w:rPr>
                <w:rFonts w:cs="Arial"/>
              </w:rPr>
              <w:t>1:2</w:t>
            </w:r>
          </w:p>
        </w:tc>
        <w:tc>
          <w:tcPr>
            <w:tcW w:w="1613" w:type="dxa"/>
            <w:tcBorders>
              <w:top w:val="single" w:color="000000" w:sz="4" w:space="0"/>
              <w:left w:val="single" w:color="000000" w:sz="4" w:space="0"/>
              <w:bottom w:val="single" w:color="000000" w:sz="4" w:space="0"/>
              <w:right w:val="single" w:color="000000" w:sz="4" w:space="0"/>
            </w:tcBorders>
            <w:vAlign w:val="center"/>
          </w:tcPr>
          <w:p>
            <w:pPr>
              <w:jc w:val="center"/>
              <w:rPr>
                <w:rFonts w:cs="Arial"/>
              </w:rPr>
            </w:pPr>
            <w:r>
              <w:rPr>
                <w:rFonts w:cs="Arial"/>
              </w:rPr>
              <w:t>6</w:t>
            </w:r>
          </w:p>
        </w:tc>
        <w:tc>
          <w:tcPr>
            <w:tcW w:w="1666" w:type="dxa"/>
            <w:tcBorders>
              <w:top w:val="single" w:color="000000" w:sz="4" w:space="0"/>
              <w:left w:val="single" w:color="000000" w:sz="4" w:space="0"/>
              <w:bottom w:val="single" w:color="000000" w:sz="4" w:space="0"/>
              <w:right w:val="single" w:color="000000" w:sz="4" w:space="0"/>
            </w:tcBorders>
            <w:vAlign w:val="center"/>
          </w:tcPr>
          <w:p>
            <w:pPr>
              <w:jc w:val="center"/>
              <w:rPr>
                <w:rFonts w:cs="Arial"/>
              </w:rPr>
            </w:pPr>
            <w:r>
              <w:rPr>
                <w:rFonts w:hint="eastAsia" w:cs="Arial"/>
              </w:rPr>
              <w:t>9</w:t>
            </w:r>
            <w:r>
              <w:rPr>
                <w:rFonts w:cs="Arial"/>
              </w:rPr>
              <w:t>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6" w:hRule="atLeast"/>
        </w:trPr>
        <w:tc>
          <w:tcPr>
            <w:tcW w:w="1743" w:type="dxa"/>
            <w:tcBorders>
              <w:top w:val="single" w:color="000000" w:sz="4" w:space="0"/>
              <w:left w:val="single" w:color="000000" w:sz="4" w:space="0"/>
              <w:bottom w:val="single" w:color="000000" w:sz="4" w:space="0"/>
              <w:right w:val="single" w:color="000000" w:sz="4" w:space="0"/>
            </w:tcBorders>
            <w:vAlign w:val="center"/>
          </w:tcPr>
          <w:p>
            <w:pPr>
              <w:jc w:val="center"/>
              <w:rPr>
                <w:rFonts w:cs="Arial"/>
              </w:rPr>
            </w:pPr>
            <w:r>
              <w:rPr>
                <w:rFonts w:cs="Arial"/>
              </w:rPr>
              <w:t>600</w:t>
            </w:r>
          </w:p>
        </w:tc>
        <w:tc>
          <w:tcPr>
            <w:tcW w:w="1928" w:type="dxa"/>
            <w:tcBorders>
              <w:top w:val="single" w:color="000000" w:sz="4" w:space="0"/>
              <w:left w:val="single" w:color="000000" w:sz="4" w:space="0"/>
              <w:bottom w:val="single" w:color="000000" w:sz="4" w:space="0"/>
              <w:right w:val="single" w:color="000000" w:sz="4" w:space="0"/>
            </w:tcBorders>
            <w:vAlign w:val="center"/>
          </w:tcPr>
          <w:p>
            <w:pPr>
              <w:jc w:val="center"/>
              <w:rPr>
                <w:rFonts w:cs="Arial"/>
              </w:rPr>
            </w:pPr>
            <w:r>
              <w:rPr>
                <w:rFonts w:cs="Arial"/>
              </w:rPr>
              <w:t>1:2</w:t>
            </w:r>
          </w:p>
        </w:tc>
        <w:tc>
          <w:tcPr>
            <w:tcW w:w="1613" w:type="dxa"/>
            <w:tcBorders>
              <w:top w:val="single" w:color="000000" w:sz="4" w:space="0"/>
              <w:left w:val="single" w:color="000000" w:sz="4" w:space="0"/>
              <w:bottom w:val="single" w:color="000000" w:sz="4" w:space="0"/>
              <w:right w:val="single" w:color="000000" w:sz="4" w:space="0"/>
            </w:tcBorders>
            <w:vAlign w:val="center"/>
          </w:tcPr>
          <w:p>
            <w:pPr>
              <w:jc w:val="center"/>
              <w:rPr>
                <w:rFonts w:cs="Arial"/>
              </w:rPr>
            </w:pPr>
            <w:r>
              <w:rPr>
                <w:rFonts w:cs="Arial"/>
              </w:rPr>
              <w:t>6</w:t>
            </w:r>
          </w:p>
        </w:tc>
        <w:tc>
          <w:tcPr>
            <w:tcW w:w="1666" w:type="dxa"/>
            <w:tcBorders>
              <w:top w:val="single" w:color="000000" w:sz="4" w:space="0"/>
              <w:left w:val="single" w:color="000000" w:sz="4" w:space="0"/>
              <w:bottom w:val="single" w:color="000000" w:sz="4" w:space="0"/>
              <w:right w:val="single" w:color="000000" w:sz="4" w:space="0"/>
            </w:tcBorders>
            <w:vAlign w:val="center"/>
          </w:tcPr>
          <w:p>
            <w:pPr>
              <w:jc w:val="center"/>
              <w:rPr>
                <w:rFonts w:cs="Arial"/>
              </w:rPr>
            </w:pPr>
            <w:r>
              <w:rPr>
                <w:rFonts w:hint="eastAsia" w:cs="Arial"/>
              </w:rPr>
              <w:t>72</w:t>
            </w:r>
            <w:r>
              <w:rPr>
                <w:rFonts w:cs="Arial"/>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6" w:hRule="atLeast"/>
        </w:trPr>
        <w:tc>
          <w:tcPr>
            <w:tcW w:w="1743" w:type="dxa"/>
            <w:tcBorders>
              <w:top w:val="single" w:color="000000" w:sz="4" w:space="0"/>
              <w:left w:val="single" w:color="000000" w:sz="4" w:space="0"/>
              <w:bottom w:val="single" w:color="000000" w:sz="4" w:space="0"/>
              <w:right w:val="single" w:color="000000" w:sz="4" w:space="0"/>
            </w:tcBorders>
            <w:vAlign w:val="center"/>
          </w:tcPr>
          <w:p>
            <w:pPr>
              <w:jc w:val="center"/>
              <w:rPr>
                <w:rFonts w:cs="Arial"/>
              </w:rPr>
            </w:pPr>
            <w:r>
              <w:rPr>
                <w:rFonts w:cs="Arial"/>
              </w:rPr>
              <w:t>800</w:t>
            </w:r>
          </w:p>
        </w:tc>
        <w:tc>
          <w:tcPr>
            <w:tcW w:w="1928" w:type="dxa"/>
            <w:tcBorders>
              <w:top w:val="single" w:color="000000" w:sz="4" w:space="0"/>
              <w:left w:val="single" w:color="000000" w:sz="4" w:space="0"/>
              <w:bottom w:val="single" w:color="000000" w:sz="4" w:space="0"/>
              <w:right w:val="single" w:color="000000" w:sz="4" w:space="0"/>
            </w:tcBorders>
            <w:vAlign w:val="center"/>
          </w:tcPr>
          <w:p>
            <w:pPr>
              <w:jc w:val="center"/>
              <w:rPr>
                <w:rFonts w:cs="Arial"/>
              </w:rPr>
            </w:pPr>
            <w:r>
              <w:rPr>
                <w:rFonts w:cs="Arial"/>
              </w:rPr>
              <w:t>1:</w:t>
            </w:r>
            <w:r>
              <w:rPr>
                <w:rFonts w:hint="eastAsia" w:cs="Arial"/>
              </w:rPr>
              <w:t>1</w:t>
            </w:r>
          </w:p>
        </w:tc>
        <w:tc>
          <w:tcPr>
            <w:tcW w:w="1613" w:type="dxa"/>
            <w:tcBorders>
              <w:top w:val="single" w:color="000000" w:sz="4" w:space="0"/>
              <w:left w:val="single" w:color="000000" w:sz="4" w:space="0"/>
              <w:bottom w:val="single" w:color="000000" w:sz="4" w:space="0"/>
              <w:right w:val="single" w:color="000000" w:sz="4" w:space="0"/>
            </w:tcBorders>
            <w:vAlign w:val="center"/>
          </w:tcPr>
          <w:p>
            <w:pPr>
              <w:jc w:val="center"/>
              <w:rPr>
                <w:rFonts w:cs="Arial"/>
              </w:rPr>
            </w:pPr>
            <w:r>
              <w:rPr>
                <w:rFonts w:cs="Arial"/>
              </w:rPr>
              <w:t>6</w:t>
            </w:r>
          </w:p>
        </w:tc>
        <w:tc>
          <w:tcPr>
            <w:tcW w:w="1666" w:type="dxa"/>
            <w:tcBorders>
              <w:top w:val="single" w:color="000000" w:sz="4" w:space="0"/>
              <w:left w:val="single" w:color="000000" w:sz="4" w:space="0"/>
              <w:bottom w:val="single" w:color="000000" w:sz="4" w:space="0"/>
              <w:right w:val="single" w:color="000000" w:sz="4" w:space="0"/>
            </w:tcBorders>
            <w:vAlign w:val="center"/>
          </w:tcPr>
          <w:p>
            <w:pPr>
              <w:jc w:val="center"/>
              <w:rPr>
                <w:rFonts w:cs="Arial"/>
              </w:rPr>
            </w:pPr>
            <w:r>
              <w:rPr>
                <w:rFonts w:hint="eastAsia" w:cs="Arial"/>
              </w:rPr>
              <w:t>60</w:t>
            </w:r>
            <w:r>
              <w:rPr>
                <w:rFonts w:cs="Arial"/>
              </w:rPr>
              <w:t>0</w:t>
            </w:r>
          </w:p>
        </w:tc>
      </w:tr>
    </w:tbl>
    <w:p>
      <w:pPr>
        <w:spacing w:before="120" w:beforeLines="50" w:line="360" w:lineRule="auto"/>
        <w:ind w:firstLine="420"/>
        <w:jc w:val="left"/>
      </w:pPr>
      <w:r>
        <w:rPr>
          <w:rFonts w:hint="eastAsia"/>
        </w:rPr>
        <w:t>注：快件之间间距200毫米，输送速度0.4米/秒。</w:t>
      </w:r>
    </w:p>
    <w:p>
      <w:pPr>
        <w:spacing w:before="120" w:beforeLines="50" w:line="360" w:lineRule="auto"/>
        <w:ind w:firstLine="420"/>
        <w:jc w:val="left"/>
      </w:pPr>
    </w:p>
    <w:p>
      <w:pPr>
        <w:spacing w:before="120" w:beforeLines="50" w:line="360" w:lineRule="auto"/>
        <w:ind w:firstLine="420"/>
        <w:jc w:val="left"/>
      </w:pPr>
    </w:p>
    <w:p>
      <w:pPr>
        <w:spacing w:before="120" w:beforeLines="50" w:line="360" w:lineRule="auto"/>
        <w:ind w:firstLine="420"/>
        <w:jc w:val="left"/>
      </w:pPr>
    </w:p>
    <w:p>
      <w:pPr>
        <w:spacing w:before="120" w:beforeLines="50" w:line="360" w:lineRule="auto"/>
        <w:ind w:firstLine="420"/>
        <w:jc w:val="left"/>
      </w:pPr>
    </w:p>
    <w:p>
      <w:pPr>
        <w:spacing w:before="120" w:beforeLines="50" w:line="360" w:lineRule="auto"/>
        <w:ind w:firstLine="420"/>
        <w:jc w:val="left"/>
      </w:pPr>
    </w:p>
    <w:p>
      <w:pPr>
        <w:spacing w:before="120" w:beforeLines="50" w:line="360" w:lineRule="auto"/>
        <w:ind w:firstLine="420"/>
        <w:jc w:val="left"/>
      </w:pPr>
    </w:p>
    <w:p>
      <w:pPr>
        <w:spacing w:before="120" w:beforeLines="50" w:line="360" w:lineRule="auto"/>
        <w:ind w:firstLine="420"/>
        <w:jc w:val="left"/>
      </w:pPr>
    </w:p>
    <w:p>
      <w:pPr>
        <w:pStyle w:val="3"/>
        <w:numPr>
          <w:ilvl w:val="0"/>
          <w:numId w:val="0"/>
        </w:numPr>
        <w:ind w:left="180"/>
        <w:rPr>
          <w:rFonts w:hint="eastAsia" w:ascii="宋体" w:hAnsi="宋体" w:eastAsia="宋体"/>
        </w:rPr>
        <w:sectPr>
          <w:pgSz w:w="11906" w:h="16838"/>
          <w:pgMar w:top="1440" w:right="1797" w:bottom="1440" w:left="1797" w:header="1246" w:footer="1220" w:gutter="0"/>
          <w:pgNumType w:fmt="decimal"/>
          <w:cols w:space="720" w:num="1"/>
          <w:docGrid w:linePitch="312" w:charSpace="0"/>
        </w:sectPr>
      </w:pPr>
      <w:bookmarkStart w:id="157" w:name="_Toc424999163"/>
      <w:bookmarkStart w:id="158" w:name="_Toc304945660"/>
      <w:bookmarkStart w:id="159" w:name="_Toc457880678"/>
      <w:bookmarkStart w:id="160" w:name="_Toc25914"/>
    </w:p>
    <w:p>
      <w:pPr>
        <w:pStyle w:val="3"/>
        <w:numPr>
          <w:ilvl w:val="0"/>
          <w:numId w:val="0"/>
        </w:numPr>
        <w:ind w:left="180"/>
        <w:rPr>
          <w:rFonts w:hint="eastAsia"/>
        </w:rPr>
      </w:pPr>
      <w:r>
        <w:rPr>
          <w:rFonts w:hint="eastAsia" w:ascii="宋体" w:hAnsi="宋体" w:eastAsia="宋体"/>
        </w:rPr>
        <w:t>系统实施详细方案</w:t>
      </w:r>
      <w:bookmarkEnd w:id="157"/>
      <w:bookmarkEnd w:id="158"/>
      <w:r>
        <w:rPr>
          <w:rFonts w:hint="eastAsia" w:ascii="宋体" w:hAnsi="宋体"/>
        </w:rPr>
        <w:t>（标准线</w:t>
      </w:r>
      <w:bookmarkEnd w:id="159"/>
      <w:r>
        <w:rPr>
          <w:rFonts w:hint="eastAsia"/>
        </w:rPr>
        <w:t>）</w:t>
      </w:r>
      <w:bookmarkEnd w:id="160"/>
    </w:p>
    <w:p>
      <w:pPr>
        <w:jc w:val="left"/>
        <w:rPr>
          <w:b/>
          <w:bCs/>
        </w:rPr>
      </w:pPr>
      <w:r>
        <w:rPr>
          <w:rFonts w:hint="eastAsia"/>
          <w:b/>
          <w:bCs/>
          <w:sz w:val="28"/>
          <w:szCs w:val="28"/>
        </w:rPr>
        <w:t>货物智能安检分拣系统设备现场安装布局图（货物出口，含海关+国检查验）</w:t>
      </w:r>
      <w:r>
        <w:rPr>
          <w:rFonts w:hint="eastAsia"/>
          <w:b/>
          <w:bCs/>
        </w:rPr>
        <w:t>：</w:t>
      </w:r>
    </w:p>
    <w:p>
      <w:pPr>
        <w:rPr>
          <w:b/>
          <w:bCs/>
        </w:rPr>
      </w:pPr>
      <w:r>
        <w:rPr>
          <w:b/>
          <w:bCs/>
        </w:rPr>
        <w:drawing>
          <wp:inline distT="0" distB="0" distL="114300" distR="114300">
            <wp:extent cx="5278120" cy="7466330"/>
            <wp:effectExtent l="0" t="0" r="17780" b="1270"/>
            <wp:docPr id="1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2"/>
                    <pic:cNvPicPr>
                      <a:picLocks noChangeAspect="1"/>
                    </pic:cNvPicPr>
                  </pic:nvPicPr>
                  <pic:blipFill>
                    <a:blip r:embed="rId16"/>
                    <a:stretch>
                      <a:fillRect/>
                    </a:stretch>
                  </pic:blipFill>
                  <pic:spPr>
                    <a:xfrm>
                      <a:off x="0" y="0"/>
                      <a:ext cx="5278120" cy="7466330"/>
                    </a:xfrm>
                    <a:prstGeom prst="rect">
                      <a:avLst/>
                    </a:prstGeom>
                    <a:noFill/>
                    <a:ln w="9525">
                      <a:noFill/>
                    </a:ln>
                  </pic:spPr>
                </pic:pic>
              </a:graphicData>
            </a:graphic>
          </wp:inline>
        </w:drawing>
      </w:r>
    </w:p>
    <w:p/>
    <w:p>
      <w:pPr>
        <w:pStyle w:val="3"/>
        <w:numPr>
          <w:ilvl w:val="0"/>
          <w:numId w:val="0"/>
        </w:numPr>
        <w:ind w:left="180"/>
        <w:rPr>
          <w:rFonts w:ascii="宋体" w:hAnsi="宋体" w:eastAsia="宋体"/>
        </w:rPr>
      </w:pPr>
      <w:bookmarkStart w:id="161" w:name="_Toc424999164"/>
      <w:bookmarkStart w:id="162" w:name="_Toc304945661"/>
      <w:bookmarkStart w:id="163" w:name="_Toc457880679"/>
      <w:bookmarkStart w:id="164" w:name="_Toc10209"/>
      <w:r>
        <w:rPr>
          <w:rFonts w:hint="eastAsia" w:ascii="宋体" w:hAnsi="宋体" w:eastAsia="宋体"/>
        </w:rPr>
        <w:t>系统网络布线</w:t>
      </w:r>
      <w:bookmarkEnd w:id="161"/>
      <w:bookmarkEnd w:id="162"/>
      <w:r>
        <w:rPr>
          <w:rFonts w:hint="eastAsia" w:ascii="宋体" w:hAnsi="宋体" w:eastAsia="宋体"/>
        </w:rPr>
        <w:t>设计</w:t>
      </w:r>
      <w:bookmarkEnd w:id="163"/>
      <w:bookmarkEnd w:id="164"/>
    </w:p>
    <w:p>
      <w:pPr>
        <w:numPr>
          <w:ilvl w:val="0"/>
          <w:numId w:val="21"/>
        </w:numPr>
        <w:spacing w:line="360" w:lineRule="auto"/>
        <w:ind w:left="798" w:hanging="294"/>
      </w:pPr>
      <w:r>
        <w:rPr>
          <w:rFonts w:hint="eastAsia"/>
        </w:rPr>
        <w:t>系统布线采用强，弱电分开布放原则；</w:t>
      </w:r>
    </w:p>
    <w:p>
      <w:pPr>
        <w:numPr>
          <w:ilvl w:val="0"/>
          <w:numId w:val="21"/>
        </w:numPr>
        <w:spacing w:line="360" w:lineRule="auto"/>
        <w:ind w:left="798" w:hanging="294"/>
      </w:pPr>
      <w:r>
        <w:rPr>
          <w:rFonts w:hint="eastAsia"/>
        </w:rPr>
        <w:t>采用标准桥架及线槽；</w:t>
      </w:r>
    </w:p>
    <w:p>
      <w:pPr>
        <w:numPr>
          <w:ilvl w:val="0"/>
          <w:numId w:val="21"/>
        </w:numPr>
        <w:spacing w:line="360" w:lineRule="auto"/>
        <w:ind w:left="798" w:hanging="294"/>
      </w:pPr>
      <w:r>
        <w:rPr>
          <w:rFonts w:hint="eastAsia"/>
        </w:rPr>
        <w:t>通信网线布放符合 GB/T 50311-2000《建筑与建筑群综合布线系统工程设计规范》中的规定；</w:t>
      </w:r>
    </w:p>
    <w:p>
      <w:pPr>
        <w:numPr>
          <w:ilvl w:val="0"/>
          <w:numId w:val="21"/>
        </w:numPr>
        <w:spacing w:line="360" w:lineRule="auto"/>
        <w:ind w:left="798" w:hanging="294"/>
      </w:pPr>
      <w:r>
        <w:rPr>
          <w:rFonts w:hint="eastAsia"/>
        </w:rPr>
        <w:t>现场接线端子无裸露；</w:t>
      </w:r>
    </w:p>
    <w:p>
      <w:pPr>
        <w:numPr>
          <w:ilvl w:val="0"/>
          <w:numId w:val="21"/>
        </w:numPr>
        <w:spacing w:line="360" w:lineRule="auto"/>
        <w:ind w:left="798" w:hanging="294"/>
      </w:pPr>
      <w:r>
        <w:rPr>
          <w:rFonts w:hint="eastAsia"/>
        </w:rPr>
        <w:t>所有引线端子采用冷压端子连接。端子穿号码标号或按标准分。</w:t>
      </w:r>
    </w:p>
    <w:p>
      <w:pPr>
        <w:spacing w:line="360" w:lineRule="auto"/>
        <w:ind w:firstLine="441" w:firstLineChars="210"/>
      </w:pPr>
      <w:r>
        <w:rPr>
          <w:rFonts w:hint="eastAsia"/>
        </w:rPr>
        <w:t>系统各设备采用1000M以太网（六类带屏蔽线）进行连接，根据服务器位置、机检工作站、开拆查验站、管理工作站和设备监控站的位置和数量布置网络接口。</w:t>
      </w:r>
    </w:p>
    <w:p>
      <w:pPr>
        <w:pStyle w:val="3"/>
        <w:numPr>
          <w:ilvl w:val="0"/>
          <w:numId w:val="0"/>
        </w:numPr>
        <w:ind w:left="180"/>
        <w:rPr>
          <w:rFonts w:ascii="宋体" w:hAnsi="宋体" w:eastAsia="宋体"/>
        </w:rPr>
      </w:pPr>
      <w:bookmarkStart w:id="165" w:name="_Toc424999165"/>
      <w:bookmarkStart w:id="166" w:name="_Toc304945662"/>
      <w:bookmarkStart w:id="167" w:name="_Toc457880680"/>
      <w:bookmarkStart w:id="168" w:name="_Toc21948"/>
      <w:r>
        <w:rPr>
          <w:rFonts w:hint="eastAsia" w:ascii="宋体" w:hAnsi="宋体" w:eastAsia="宋体"/>
        </w:rPr>
        <w:t>系统数据接口</w:t>
      </w:r>
      <w:bookmarkEnd w:id="165"/>
      <w:bookmarkEnd w:id="166"/>
      <w:r>
        <w:rPr>
          <w:rFonts w:hint="eastAsia" w:ascii="宋体" w:hAnsi="宋体" w:eastAsia="宋体"/>
        </w:rPr>
        <w:t>要求</w:t>
      </w:r>
      <w:bookmarkEnd w:id="167"/>
      <w:bookmarkEnd w:id="168"/>
    </w:p>
    <w:p>
      <w:pPr>
        <w:spacing w:line="360" w:lineRule="auto"/>
        <w:ind w:firstLine="441" w:firstLineChars="210"/>
      </w:pPr>
      <w:r>
        <w:rPr>
          <w:rFonts w:hint="eastAsia"/>
        </w:rPr>
        <w:t>平台服务器与本地服务器</w:t>
      </w:r>
    </w:p>
    <w:p>
      <w:pPr>
        <w:spacing w:line="360" w:lineRule="auto"/>
        <w:ind w:firstLine="441" w:firstLineChars="210"/>
      </w:pPr>
      <w:r>
        <w:rPr>
          <w:rFonts w:hint="eastAsia"/>
        </w:rPr>
        <w:t>快件系统服务器与海关通关系统中间服务器同步快件报关单及快件查验结果数据。海关通关系统中间服务器向快件系统服务器提供快件查验所需报关单信息，快件系统服务器向本地服务器更新快件查验结果数据。</w:t>
      </w:r>
    </w:p>
    <w:p>
      <w:pPr>
        <w:spacing w:line="360" w:lineRule="auto"/>
        <w:ind w:firstLine="441" w:firstLineChars="210"/>
      </w:pPr>
      <w:r>
        <w:rPr>
          <w:rFonts w:hint="eastAsia"/>
        </w:rPr>
        <w:t xml:space="preserve">快件系统服务器开放数据表结构，海关中间服务器可主动访问方式向快件系统服务器同步数据。本地服务器数据库文件采用SQL2000格式. </w:t>
      </w:r>
    </w:p>
    <w:p>
      <w:pPr>
        <w:pStyle w:val="3"/>
        <w:numPr>
          <w:ilvl w:val="0"/>
          <w:numId w:val="0"/>
        </w:numPr>
        <w:ind w:left="180"/>
        <w:rPr>
          <w:rFonts w:ascii="宋体" w:hAnsi="宋体" w:eastAsia="宋体"/>
        </w:rPr>
      </w:pPr>
      <w:bookmarkStart w:id="169" w:name="_Toc304945663"/>
      <w:bookmarkStart w:id="170" w:name="_Toc424999166"/>
      <w:bookmarkStart w:id="171" w:name="_Toc457880681"/>
      <w:bookmarkStart w:id="172" w:name="_Toc234"/>
      <w:r>
        <w:rPr>
          <w:rFonts w:hint="eastAsia" w:ascii="宋体" w:hAnsi="宋体" w:eastAsia="宋体"/>
        </w:rPr>
        <w:t>系统功能模块</w:t>
      </w:r>
      <w:bookmarkEnd w:id="169"/>
      <w:bookmarkEnd w:id="170"/>
      <w:r>
        <w:rPr>
          <w:rFonts w:hint="eastAsia" w:ascii="宋体" w:hAnsi="宋体" w:eastAsia="宋体"/>
        </w:rPr>
        <w:t>设计</w:t>
      </w:r>
      <w:bookmarkEnd w:id="171"/>
      <w:bookmarkEnd w:id="172"/>
    </w:p>
    <w:p>
      <w:pPr>
        <w:pStyle w:val="3"/>
        <w:numPr>
          <w:ilvl w:val="0"/>
          <w:numId w:val="0"/>
        </w:numPr>
        <w:ind w:left="180"/>
      </w:pPr>
      <w:bookmarkStart w:id="173" w:name="_Toc304945664"/>
      <w:bookmarkStart w:id="174" w:name="_Toc424999167"/>
      <w:bookmarkStart w:id="175" w:name="_Toc457880682"/>
      <w:bookmarkStart w:id="176" w:name="_Toc24207"/>
      <w:r>
        <w:rPr>
          <w:rFonts w:hint="eastAsia" w:ascii="宋体" w:hAnsi="宋体" w:eastAsia="宋体"/>
        </w:rPr>
        <w:t>信息系统管理模块</w:t>
      </w:r>
      <w:bookmarkEnd w:id="173"/>
      <w:bookmarkEnd w:id="174"/>
      <w:bookmarkEnd w:id="175"/>
      <w:bookmarkEnd w:id="176"/>
    </w:p>
    <w:p>
      <w:pPr>
        <w:spacing w:line="360" w:lineRule="auto"/>
        <w:ind w:firstLine="420"/>
      </w:pPr>
      <w:r>
        <w:rPr>
          <w:rFonts w:hint="eastAsia"/>
        </w:rPr>
        <w:t>信息系统管理模块共包括以下子系统：快件X光机操作员工作站、开拆查验工作站、快件查验管理工作站和服务器。</w:t>
      </w:r>
    </w:p>
    <w:p>
      <w:pPr>
        <w:spacing w:line="360" w:lineRule="auto"/>
        <w:ind w:firstLine="420"/>
      </w:pPr>
      <w:r>
        <w:rPr>
          <w:rFonts w:hint="eastAsia"/>
        </w:rPr>
        <w:t>信息系统各工作站提供用户名和密码验证功能，并支持默认用户登录。</w:t>
      </w:r>
    </w:p>
    <w:p>
      <w:pPr>
        <w:pStyle w:val="3"/>
        <w:numPr>
          <w:ilvl w:val="0"/>
          <w:numId w:val="0"/>
        </w:numPr>
        <w:ind w:left="180"/>
      </w:pPr>
      <w:bookmarkStart w:id="177" w:name="_Toc28613"/>
      <w:bookmarkStart w:id="178" w:name="_Toc424999168"/>
      <w:bookmarkStart w:id="179" w:name="_Toc457880683"/>
      <w:r>
        <w:rPr>
          <w:rFonts w:hint="eastAsia" w:ascii="宋体" w:hAnsi="宋体" w:eastAsia="宋体"/>
        </w:rPr>
        <w:t>快件</w:t>
      </w:r>
      <w:r>
        <w:rPr>
          <w:rFonts w:hint="eastAsia"/>
        </w:rPr>
        <w:t>X光机操作员工作站</w:t>
      </w:r>
      <w:bookmarkEnd w:id="177"/>
      <w:bookmarkEnd w:id="178"/>
      <w:bookmarkEnd w:id="179"/>
    </w:p>
    <w:p>
      <w:pPr>
        <w:spacing w:line="360" w:lineRule="auto"/>
        <w:ind w:firstLine="420"/>
      </w:pPr>
      <w:r>
        <w:rPr>
          <w:rFonts w:hint="eastAsia"/>
        </w:rPr>
        <w:t>快件机检工作站提供的主要功能如下：</w:t>
      </w:r>
    </w:p>
    <w:p>
      <w:pPr>
        <w:numPr>
          <w:ilvl w:val="0"/>
          <w:numId w:val="22"/>
        </w:numPr>
        <w:spacing w:line="360" w:lineRule="auto"/>
      </w:pPr>
      <w:r>
        <w:rPr>
          <w:rFonts w:hint="eastAsia"/>
        </w:rPr>
        <w:t>X光图像显示，支持对X光图像进行变换和处理，详细见管理工作站图像处理部分描述；</w:t>
      </w:r>
    </w:p>
    <w:p>
      <w:pPr>
        <w:numPr>
          <w:ilvl w:val="0"/>
          <w:numId w:val="22"/>
        </w:numPr>
        <w:spacing w:line="360" w:lineRule="auto"/>
      </w:pPr>
      <w:r>
        <w:rPr>
          <w:rFonts w:hint="eastAsia"/>
        </w:rPr>
        <w:t>报关单信息显示，用户可选择界面显示字段，当“审单验放指令”是“查验”时，应突出显示；无快件条码对应的报关单信息时，提示“无EDI信息”；</w:t>
      </w:r>
    </w:p>
    <w:p>
      <w:pPr>
        <w:numPr>
          <w:ilvl w:val="0"/>
          <w:numId w:val="22"/>
        </w:numPr>
        <w:spacing w:line="360" w:lineRule="auto"/>
      </w:pPr>
      <w:r>
        <w:rPr>
          <w:rFonts w:hint="eastAsia"/>
        </w:rPr>
        <w:t>快件机检查验结果选择：“放行”和“查验”；</w:t>
      </w:r>
    </w:p>
    <w:p>
      <w:pPr>
        <w:numPr>
          <w:ilvl w:val="0"/>
          <w:numId w:val="22"/>
        </w:numPr>
        <w:spacing w:line="360" w:lineRule="auto"/>
      </w:pPr>
      <w:r>
        <w:rPr>
          <w:rFonts w:hint="eastAsia"/>
        </w:rPr>
        <w:t>剩余判读时间提示；</w:t>
      </w:r>
    </w:p>
    <w:p>
      <w:pPr>
        <w:numPr>
          <w:ilvl w:val="0"/>
          <w:numId w:val="22"/>
        </w:numPr>
        <w:spacing w:line="360" w:lineRule="auto"/>
      </w:pPr>
      <w:r>
        <w:rPr>
          <w:rFonts w:hint="eastAsia"/>
        </w:rPr>
        <w:t>辅助信息显示：用户名、系统时间、已查验快件计数；</w:t>
      </w:r>
    </w:p>
    <w:p>
      <w:pPr>
        <w:numPr>
          <w:ilvl w:val="0"/>
          <w:numId w:val="22"/>
        </w:numPr>
        <w:spacing w:line="360" w:lineRule="auto"/>
      </w:pPr>
      <w:r>
        <w:rPr>
          <w:rFonts w:hint="eastAsia"/>
        </w:rPr>
        <w:t>暂停查验功能选择；</w:t>
      </w:r>
    </w:p>
    <w:p>
      <w:pPr>
        <w:numPr>
          <w:ilvl w:val="0"/>
          <w:numId w:val="22"/>
        </w:numPr>
        <w:spacing w:line="360" w:lineRule="auto"/>
      </w:pPr>
      <w:r>
        <w:rPr>
          <w:rFonts w:hint="eastAsia"/>
        </w:rPr>
        <w:t>限时判读功能，超过判读时间限制且未给出查验结果时，系统自动给出“放行”结果，判读时间限制可以在6-8秒之间设置。</w:t>
      </w:r>
    </w:p>
    <w:p>
      <w:pPr>
        <w:numPr>
          <w:ilvl w:val="0"/>
          <w:numId w:val="22"/>
        </w:numPr>
        <w:spacing w:line="360" w:lineRule="auto"/>
      </w:pPr>
      <w:r>
        <w:rPr>
          <w:rFonts w:hint="eastAsia"/>
        </w:rPr>
        <w:t>向快件系统服务器反馈机检查验结果。</w:t>
      </w:r>
    </w:p>
    <w:p>
      <w:pPr>
        <w:spacing w:line="360" w:lineRule="auto"/>
      </w:pPr>
    </w:p>
    <w:p>
      <w:pPr>
        <w:pStyle w:val="3"/>
        <w:numPr>
          <w:ilvl w:val="0"/>
          <w:numId w:val="0"/>
        </w:numPr>
        <w:ind w:left="180"/>
      </w:pPr>
      <w:bookmarkStart w:id="180" w:name="_Toc424999169"/>
      <w:bookmarkStart w:id="181" w:name="_Toc240387593"/>
      <w:bookmarkStart w:id="182" w:name="_Toc457880684"/>
      <w:bookmarkStart w:id="183" w:name="_Toc9889"/>
      <w:r>
        <w:rPr>
          <w:rFonts w:hint="eastAsia" w:ascii="宋体" w:hAnsi="宋体" w:eastAsia="宋体"/>
        </w:rPr>
        <w:t>快件查验管理工作站</w:t>
      </w:r>
      <w:bookmarkEnd w:id="180"/>
      <w:bookmarkEnd w:id="181"/>
      <w:bookmarkEnd w:id="182"/>
      <w:bookmarkEnd w:id="183"/>
    </w:p>
    <w:p>
      <w:pPr>
        <w:spacing w:line="360" w:lineRule="auto"/>
        <w:ind w:firstLine="420"/>
      </w:pPr>
      <w:r>
        <w:rPr>
          <w:rFonts w:hint="eastAsia"/>
        </w:rPr>
        <w:t>主要功能描述：</w:t>
      </w:r>
    </w:p>
    <w:p>
      <w:pPr>
        <w:spacing w:line="360" w:lineRule="auto"/>
        <w:ind w:firstLine="420"/>
      </w:pPr>
      <w:bookmarkStart w:id="184" w:name="OLE_LINK10"/>
      <w:bookmarkStart w:id="185" w:name="OLE_LINK9"/>
      <w:r>
        <w:rPr>
          <w:rFonts w:hint="eastAsia"/>
        </w:rPr>
        <w:t>管理员工作站</w:t>
      </w:r>
      <w:bookmarkEnd w:id="184"/>
      <w:bookmarkEnd w:id="185"/>
      <w:r>
        <w:rPr>
          <w:rFonts w:hint="eastAsia"/>
        </w:rPr>
        <w:t>用于进行安检图像的查询、检索和管理。有权限的操作人员可以通过管理员工作站对网络内安检设备、所产生的图像数据以及操作人员进行集中管理。管理员工作站在实现集中管理功能的同时，充分考虑便于管理人员操作使用，提高管理效率。管理员工作站的主要功能如下描述：</w:t>
      </w:r>
    </w:p>
    <w:p>
      <w:pPr>
        <w:numPr>
          <w:ilvl w:val="0"/>
          <w:numId w:val="23"/>
        </w:numPr>
        <w:spacing w:line="360" w:lineRule="auto"/>
        <w:rPr>
          <w:b/>
        </w:rPr>
      </w:pPr>
      <w:r>
        <w:rPr>
          <w:rFonts w:hint="eastAsia"/>
          <w:b/>
        </w:rPr>
        <w:t>用户管理功能</w:t>
      </w:r>
    </w:p>
    <w:p>
      <w:pPr>
        <w:numPr>
          <w:ilvl w:val="0"/>
          <w:numId w:val="24"/>
        </w:numPr>
        <w:spacing w:line="360" w:lineRule="auto"/>
      </w:pPr>
      <w:r>
        <w:rPr>
          <w:rFonts w:hint="eastAsia"/>
        </w:rPr>
        <w:t>用户级别定义</w:t>
      </w:r>
    </w:p>
    <w:p>
      <w:pPr>
        <w:spacing w:line="360" w:lineRule="auto"/>
        <w:ind w:firstLine="420"/>
      </w:pPr>
      <w:r>
        <w:rPr>
          <w:rFonts w:hint="eastAsia"/>
        </w:rPr>
        <w:t>管理员可通过此功能自定义用户级别（包括：系统员、管理员、操作员等用户级别），然后再给相应的级别赋予不同的操作权限（包括：查询、添加、修改、删除等等）。系统对于操作权限的设置可以针对具体的操作按钮。</w:t>
      </w:r>
    </w:p>
    <w:p>
      <w:pPr>
        <w:numPr>
          <w:ilvl w:val="0"/>
          <w:numId w:val="25"/>
        </w:numPr>
        <w:spacing w:line="360" w:lineRule="auto"/>
      </w:pPr>
      <w:r>
        <w:rPr>
          <w:rFonts w:hint="eastAsia"/>
        </w:rPr>
        <w:t>查询、添加、删除用户</w:t>
      </w:r>
    </w:p>
    <w:p>
      <w:pPr>
        <w:spacing w:line="360" w:lineRule="auto"/>
        <w:ind w:firstLine="420"/>
      </w:pPr>
      <w:r>
        <w:rPr>
          <w:rFonts w:hint="eastAsia"/>
        </w:rPr>
        <w:t>管理员可对所有员工的档案信息进行管理，赋予不同的用户级别权限。</w:t>
      </w:r>
    </w:p>
    <w:p>
      <w:pPr>
        <w:spacing w:line="360" w:lineRule="auto"/>
        <w:ind w:firstLine="420"/>
      </w:pPr>
      <w:r>
        <w:rPr>
          <w:rFonts w:hint="eastAsia"/>
        </w:rPr>
        <w:t>管理员可以查询系统中各种用户级别下有哪些用户，并可根据需要添加、删除用户。</w:t>
      </w:r>
    </w:p>
    <w:p>
      <w:pPr>
        <w:numPr>
          <w:ilvl w:val="0"/>
          <w:numId w:val="23"/>
        </w:numPr>
        <w:spacing w:line="360" w:lineRule="auto"/>
        <w:rPr>
          <w:b/>
        </w:rPr>
      </w:pPr>
      <w:r>
        <w:rPr>
          <w:rFonts w:hint="eastAsia"/>
          <w:b/>
        </w:rPr>
        <w:t>图像管理功能</w:t>
      </w:r>
    </w:p>
    <w:p>
      <w:pPr>
        <w:spacing w:line="360" w:lineRule="auto"/>
        <w:ind w:firstLine="420"/>
      </w:pPr>
      <w:r>
        <w:rPr>
          <w:rFonts w:hint="eastAsia"/>
        </w:rPr>
        <w:t>管理员可以根据图像时间、员工ID号等条件检索图像。查询条件可以是一个，也可以是任意多个的自由组合。</w:t>
      </w:r>
    </w:p>
    <w:p>
      <w:pPr>
        <w:numPr>
          <w:ilvl w:val="0"/>
          <w:numId w:val="23"/>
        </w:numPr>
        <w:spacing w:line="360" w:lineRule="auto"/>
        <w:rPr>
          <w:b/>
        </w:rPr>
      </w:pPr>
      <w:r>
        <w:rPr>
          <w:rFonts w:hint="eastAsia"/>
          <w:b/>
        </w:rPr>
        <w:t>图像处理功能</w:t>
      </w:r>
    </w:p>
    <w:p>
      <w:pPr>
        <w:numPr>
          <w:ilvl w:val="0"/>
          <w:numId w:val="25"/>
        </w:numPr>
        <w:spacing w:line="360" w:lineRule="auto"/>
      </w:pPr>
      <w:r>
        <w:rPr>
          <w:rFonts w:hint="eastAsia"/>
        </w:rPr>
        <w:t>显示颜色设置：操作员可根据自身习惯选择窗口背景色。</w:t>
      </w:r>
    </w:p>
    <w:p>
      <w:pPr>
        <w:numPr>
          <w:ilvl w:val="0"/>
          <w:numId w:val="25"/>
        </w:numPr>
        <w:spacing w:line="360" w:lineRule="auto"/>
      </w:pPr>
      <w:r>
        <w:rPr>
          <w:rFonts w:hint="eastAsia"/>
        </w:rPr>
        <w:t>图像显示方式：支持黑白、多能量、伪彩色显示方式，可一键切换成全彩色或全黑白图像。</w:t>
      </w:r>
    </w:p>
    <w:p>
      <w:pPr>
        <w:numPr>
          <w:ilvl w:val="0"/>
          <w:numId w:val="25"/>
        </w:numPr>
        <w:spacing w:line="360" w:lineRule="auto"/>
      </w:pPr>
      <w:r>
        <w:rPr>
          <w:rFonts w:hint="eastAsia"/>
        </w:rPr>
        <w:t>图像超级增强功能：</w:t>
      </w:r>
      <w:r>
        <w:t>同时增强易穿透物质和难穿透物质的显示效果，获得整幅图像的最佳对比度；</w:t>
      </w:r>
    </w:p>
    <w:p>
      <w:pPr>
        <w:ind w:left="420"/>
        <w:rPr>
          <w:position w:val="-2"/>
        </w:rPr>
      </w:pPr>
      <w:r>
        <w:rPr>
          <w:position w:val="-2"/>
        </w:rPr>
        <w:drawing>
          <wp:inline distT="0" distB="0" distL="114300" distR="114300">
            <wp:extent cx="2331085" cy="2030095"/>
            <wp:effectExtent l="0" t="0" r="12065" b="8255"/>
            <wp:docPr id="1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3"/>
                    <pic:cNvPicPr>
                      <a:picLocks noChangeAspect="1"/>
                    </pic:cNvPicPr>
                  </pic:nvPicPr>
                  <pic:blipFill>
                    <a:blip r:embed="rId20"/>
                    <a:srcRect l="30783" t="6384" r="4539" b="29471"/>
                    <a:stretch>
                      <a:fillRect/>
                    </a:stretch>
                  </pic:blipFill>
                  <pic:spPr>
                    <a:xfrm>
                      <a:off x="0" y="0"/>
                      <a:ext cx="2331085" cy="2030095"/>
                    </a:xfrm>
                    <a:prstGeom prst="rect">
                      <a:avLst/>
                    </a:prstGeom>
                    <a:noFill/>
                    <a:ln w="9525">
                      <a:noFill/>
                    </a:ln>
                  </pic:spPr>
                </pic:pic>
              </a:graphicData>
            </a:graphic>
          </wp:inline>
        </w:drawing>
      </w:r>
      <w:r>
        <w:rPr>
          <w:position w:val="-2"/>
        </w:rPr>
        <w:drawing>
          <wp:inline distT="0" distB="0" distL="114300" distR="114300">
            <wp:extent cx="2334895" cy="2048510"/>
            <wp:effectExtent l="0" t="0" r="8255" b="8890"/>
            <wp:docPr id="2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4"/>
                    <pic:cNvPicPr>
                      <a:picLocks noChangeAspect="1"/>
                    </pic:cNvPicPr>
                  </pic:nvPicPr>
                  <pic:blipFill>
                    <a:blip r:embed="rId21"/>
                    <a:srcRect l="30377" t="6537" r="4539" b="29471"/>
                    <a:stretch>
                      <a:fillRect/>
                    </a:stretch>
                  </pic:blipFill>
                  <pic:spPr>
                    <a:xfrm>
                      <a:off x="0" y="0"/>
                      <a:ext cx="2334895" cy="2048510"/>
                    </a:xfrm>
                    <a:prstGeom prst="rect">
                      <a:avLst/>
                    </a:prstGeom>
                    <a:noFill/>
                    <a:ln w="9525">
                      <a:noFill/>
                    </a:ln>
                  </pic:spPr>
                </pic:pic>
              </a:graphicData>
            </a:graphic>
          </wp:inline>
        </w:drawing>
      </w:r>
    </w:p>
    <w:p>
      <w:pPr>
        <w:spacing w:line="360" w:lineRule="auto"/>
        <w:ind w:firstLine="1890" w:firstLineChars="900"/>
      </w:pPr>
      <w:r>
        <w:rPr>
          <w:rFonts w:hint="eastAsia"/>
        </w:rPr>
        <w:t>原始图像                      超级增强</w:t>
      </w:r>
    </w:p>
    <w:p>
      <w:pPr>
        <w:numPr>
          <w:ilvl w:val="0"/>
          <w:numId w:val="25"/>
        </w:numPr>
        <w:spacing w:line="360" w:lineRule="auto"/>
      </w:pPr>
      <w:r>
        <w:rPr>
          <w:rFonts w:hint="eastAsia"/>
        </w:rPr>
        <w:t>局部图像穿透增强：</w:t>
      </w:r>
      <w:r>
        <w:t>增强局部图像的对比度，使得局部物质显示更加清晰。</w:t>
      </w:r>
    </w:p>
    <w:p>
      <w:pPr>
        <w:numPr>
          <w:ilvl w:val="0"/>
          <w:numId w:val="25"/>
        </w:numPr>
        <w:spacing w:line="360" w:lineRule="auto"/>
      </w:pPr>
      <w:r>
        <w:rPr>
          <w:rFonts w:hint="eastAsia"/>
        </w:rPr>
        <w:t>图像反转显示：</w:t>
      </w:r>
      <w:r>
        <w:t>彩色图像颜色基调不变，饱和度取反，黑白图像灰度值取反，即吸收率高的物体显示为亮色或白色，吸收率低的物体显示为深色或黑色；适于观察密度较高的细小物体(如金属丝)；</w:t>
      </w:r>
    </w:p>
    <w:p>
      <w:pPr>
        <w:ind w:left="420"/>
        <w:rPr>
          <w:position w:val="-2"/>
        </w:rPr>
      </w:pPr>
      <w:r>
        <w:rPr>
          <w:position w:val="-2"/>
        </w:rPr>
        <w:drawing>
          <wp:inline distT="0" distB="0" distL="114300" distR="114300">
            <wp:extent cx="2331085" cy="2030095"/>
            <wp:effectExtent l="0" t="0" r="12065" b="8255"/>
            <wp:docPr id="2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5"/>
                    <pic:cNvPicPr>
                      <a:picLocks noChangeAspect="1"/>
                    </pic:cNvPicPr>
                  </pic:nvPicPr>
                  <pic:blipFill>
                    <a:blip r:embed="rId20"/>
                    <a:srcRect l="30783" t="6384" r="4539" b="29471"/>
                    <a:stretch>
                      <a:fillRect/>
                    </a:stretch>
                  </pic:blipFill>
                  <pic:spPr>
                    <a:xfrm>
                      <a:off x="0" y="0"/>
                      <a:ext cx="2331085" cy="2030095"/>
                    </a:xfrm>
                    <a:prstGeom prst="rect">
                      <a:avLst/>
                    </a:prstGeom>
                    <a:noFill/>
                    <a:ln w="9525">
                      <a:noFill/>
                    </a:ln>
                  </pic:spPr>
                </pic:pic>
              </a:graphicData>
            </a:graphic>
          </wp:inline>
        </w:drawing>
      </w:r>
      <w:r>
        <w:rPr>
          <w:position w:val="-2"/>
        </w:rPr>
        <w:drawing>
          <wp:inline distT="0" distB="0" distL="114300" distR="114300">
            <wp:extent cx="2334895" cy="2048510"/>
            <wp:effectExtent l="0" t="0" r="8255" b="8890"/>
            <wp:docPr id="22"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6"/>
                    <pic:cNvPicPr>
                      <a:picLocks noChangeAspect="1"/>
                    </pic:cNvPicPr>
                  </pic:nvPicPr>
                  <pic:blipFill>
                    <a:blip r:embed="rId22"/>
                    <a:srcRect l="30377" t="6537" r="4539" b="29471"/>
                    <a:stretch>
                      <a:fillRect/>
                    </a:stretch>
                  </pic:blipFill>
                  <pic:spPr>
                    <a:xfrm>
                      <a:off x="0" y="0"/>
                      <a:ext cx="2334895" cy="2048510"/>
                    </a:xfrm>
                    <a:prstGeom prst="rect">
                      <a:avLst/>
                    </a:prstGeom>
                    <a:noFill/>
                    <a:ln w="9525">
                      <a:noFill/>
                    </a:ln>
                  </pic:spPr>
                </pic:pic>
              </a:graphicData>
            </a:graphic>
          </wp:inline>
        </w:drawing>
      </w:r>
    </w:p>
    <w:p>
      <w:pPr>
        <w:spacing w:line="360" w:lineRule="auto"/>
        <w:ind w:firstLine="1890" w:firstLineChars="900"/>
      </w:pPr>
      <w:r>
        <w:rPr>
          <w:rFonts w:hint="eastAsia"/>
        </w:rPr>
        <w:t>原始图像                      图像反转显示</w:t>
      </w:r>
    </w:p>
    <w:p>
      <w:pPr>
        <w:numPr>
          <w:ilvl w:val="0"/>
          <w:numId w:val="25"/>
        </w:numPr>
        <w:spacing w:line="360" w:lineRule="auto"/>
      </w:pPr>
      <w:r>
        <w:rPr>
          <w:rFonts w:hint="eastAsia"/>
        </w:rPr>
        <w:t>无机物剔除图像：</w:t>
      </w:r>
      <w:r>
        <w:t>无机物显示为灰度图像；有机物和被较薄无机物覆盖的有机物颜色不变，将被突出显示；</w:t>
      </w:r>
    </w:p>
    <w:p>
      <w:pPr>
        <w:numPr>
          <w:ilvl w:val="0"/>
          <w:numId w:val="25"/>
        </w:numPr>
        <w:spacing w:line="360" w:lineRule="auto"/>
      </w:pPr>
      <w:r>
        <w:rPr>
          <w:rFonts w:hint="eastAsia"/>
        </w:rPr>
        <w:t>有机物剔除图像：</w:t>
      </w:r>
      <w:r>
        <w:t>有机物显示为灰度图像；无机物和被较薄有机物覆盖的无机物颜色不变，将被突出显示；</w:t>
      </w:r>
    </w:p>
    <w:p>
      <w:pPr>
        <w:ind w:left="420"/>
        <w:rPr>
          <w:rFonts w:cs="Arial"/>
        </w:rPr>
      </w:pPr>
      <w:r>
        <w:rPr>
          <w:rFonts w:cs="Arial"/>
        </w:rPr>
        <w:drawing>
          <wp:inline distT="0" distB="0" distL="114300" distR="114300">
            <wp:extent cx="2334260" cy="1828800"/>
            <wp:effectExtent l="0" t="0" r="8890" b="0"/>
            <wp:docPr id="23" name="图片 1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7" descr="1"/>
                    <pic:cNvPicPr>
                      <a:picLocks noChangeAspect="1"/>
                    </pic:cNvPicPr>
                  </pic:nvPicPr>
                  <pic:blipFill>
                    <a:blip r:embed="rId23"/>
                    <a:stretch>
                      <a:fillRect/>
                    </a:stretch>
                  </pic:blipFill>
                  <pic:spPr>
                    <a:xfrm>
                      <a:off x="0" y="0"/>
                      <a:ext cx="2334260" cy="1828800"/>
                    </a:xfrm>
                    <a:prstGeom prst="rect">
                      <a:avLst/>
                    </a:prstGeom>
                    <a:noFill/>
                    <a:ln w="9525">
                      <a:noFill/>
                    </a:ln>
                  </pic:spPr>
                </pic:pic>
              </a:graphicData>
            </a:graphic>
          </wp:inline>
        </w:drawing>
      </w:r>
      <w:r>
        <w:rPr>
          <w:rFonts w:cs="Arial"/>
        </w:rPr>
        <w:drawing>
          <wp:inline distT="0" distB="0" distL="114300" distR="114300">
            <wp:extent cx="2334260" cy="1704340"/>
            <wp:effectExtent l="0" t="0" r="8890" b="10160"/>
            <wp:docPr id="24" name="图片 1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8" descr="2"/>
                    <pic:cNvPicPr>
                      <a:picLocks noChangeAspect="1"/>
                    </pic:cNvPicPr>
                  </pic:nvPicPr>
                  <pic:blipFill>
                    <a:blip r:embed="rId24"/>
                    <a:stretch>
                      <a:fillRect/>
                    </a:stretch>
                  </pic:blipFill>
                  <pic:spPr>
                    <a:xfrm>
                      <a:off x="0" y="0"/>
                      <a:ext cx="2334260" cy="1704340"/>
                    </a:xfrm>
                    <a:prstGeom prst="rect">
                      <a:avLst/>
                    </a:prstGeom>
                    <a:noFill/>
                    <a:ln w="9525">
                      <a:noFill/>
                    </a:ln>
                  </pic:spPr>
                </pic:pic>
              </a:graphicData>
            </a:graphic>
          </wp:inline>
        </w:drawing>
      </w:r>
      <w:r>
        <w:rPr>
          <w:rFonts w:hint="eastAsia" w:cs="Arial"/>
        </w:rPr>
        <w:t xml:space="preserve">    </w:t>
      </w:r>
    </w:p>
    <w:p>
      <w:pPr>
        <w:spacing w:line="360" w:lineRule="auto"/>
        <w:ind w:firstLine="1890" w:firstLineChars="900"/>
      </w:pPr>
      <w:r>
        <w:rPr>
          <w:rFonts w:hint="eastAsia"/>
        </w:rPr>
        <w:t>无机物剔除                           有机物剔除</w:t>
      </w:r>
    </w:p>
    <w:p>
      <w:pPr>
        <w:numPr>
          <w:ilvl w:val="0"/>
          <w:numId w:val="25"/>
        </w:numPr>
        <w:spacing w:line="360" w:lineRule="auto"/>
      </w:pPr>
      <w:r>
        <w:rPr>
          <w:rFonts w:hint="eastAsia"/>
        </w:rPr>
        <w:t>支持色饱和度扫描及灰度扫描。</w:t>
      </w:r>
    </w:p>
    <w:p>
      <w:pPr>
        <w:numPr>
          <w:ilvl w:val="0"/>
          <w:numId w:val="25"/>
        </w:numPr>
        <w:spacing w:line="360" w:lineRule="auto"/>
      </w:pPr>
      <w:r>
        <w:rPr>
          <w:rFonts w:hint="eastAsia"/>
        </w:rPr>
        <w:t>对高密度物质报警：</w:t>
      </w:r>
      <w:r>
        <w:t>当被检物品吸收率很高造成图像无法分辨时，系统报警并用指定颜色方框标记穿不透区域。</w:t>
      </w:r>
    </w:p>
    <w:p>
      <w:pPr>
        <w:numPr>
          <w:ilvl w:val="0"/>
          <w:numId w:val="25"/>
        </w:numPr>
        <w:spacing w:line="360" w:lineRule="auto"/>
      </w:pPr>
      <w:r>
        <w:rPr>
          <w:rFonts w:hint="eastAsia"/>
        </w:rPr>
        <w:t>具有九选区2倍、4倍、8倍线性放大功能，或连续无级缩放功能，并有图像微缩窗口。同时支持任意选区连续放大2至8倍，放大选区漫游；任意选区可进行图像增强等处理。</w:t>
      </w:r>
    </w:p>
    <w:p>
      <w:pPr>
        <w:numPr>
          <w:ilvl w:val="0"/>
          <w:numId w:val="25"/>
        </w:numPr>
        <w:spacing w:line="360" w:lineRule="auto"/>
      </w:pPr>
      <w:r>
        <w:rPr>
          <w:rFonts w:hint="eastAsia"/>
        </w:rPr>
        <w:t>图像边缘增强：</w:t>
      </w:r>
      <w:r>
        <w:t>增强图像中的边缘尤其是微弱边缘，使图像中结构轮廓信息更加突出清晰；</w:t>
      </w:r>
    </w:p>
    <w:p>
      <w:pPr>
        <w:numPr>
          <w:ilvl w:val="0"/>
          <w:numId w:val="25"/>
        </w:numPr>
        <w:spacing w:line="360" w:lineRule="auto"/>
      </w:pPr>
      <w:r>
        <w:rPr>
          <w:rFonts w:hint="eastAsia"/>
        </w:rPr>
        <w:t>炸药毒品自动侦探功能：</w:t>
      </w:r>
      <w:r>
        <w:t>当根据有效原子序数信息判断被检物品含疑似爆炸物或毒品物质时，系统报警并用指定颜色方框标记嫌疑区域；</w:t>
      </w:r>
    </w:p>
    <w:p>
      <w:pPr>
        <w:numPr>
          <w:ilvl w:val="0"/>
          <w:numId w:val="25"/>
        </w:numPr>
        <w:spacing w:line="360" w:lineRule="auto"/>
      </w:pPr>
      <w:r>
        <w:rPr>
          <w:rFonts w:hint="eastAsia"/>
        </w:rPr>
        <w:t>危险品、违禁品访问和插入功能：</w:t>
      </w:r>
    </w:p>
    <w:p>
      <w:pPr>
        <w:numPr>
          <w:ilvl w:val="2"/>
          <w:numId w:val="26"/>
        </w:numPr>
        <w:spacing w:line="360" w:lineRule="auto"/>
        <w:ind w:left="1196" w:hanging="357"/>
      </w:pPr>
      <w:r>
        <w:t>危险品图像插入功能可以自动、随机在被检物品检查过程中插入虚拟的危险品图像，帮助训练和考核操作人员图像识别能力；</w:t>
      </w:r>
    </w:p>
    <w:p>
      <w:pPr>
        <w:numPr>
          <w:ilvl w:val="2"/>
          <w:numId w:val="26"/>
        </w:numPr>
        <w:spacing w:line="360" w:lineRule="auto"/>
        <w:ind w:left="1196" w:hanging="357"/>
      </w:pPr>
      <w:r>
        <w:t>危险品图像可以选择在被检物品图像之间插入整包虚拟包裹图像方式，也可以选择将虚拟危险品插入到实际的被检物品图像中；</w:t>
      </w:r>
    </w:p>
    <w:p>
      <w:pPr>
        <w:numPr>
          <w:ilvl w:val="2"/>
          <w:numId w:val="26"/>
        </w:numPr>
        <w:spacing w:line="360" w:lineRule="auto"/>
        <w:ind w:left="1196" w:hanging="357"/>
      </w:pPr>
      <w:r>
        <w:t>高级管理人员可以设定插入危险品图像的规则，包括危险品类别和插入频率等。</w:t>
      </w:r>
    </w:p>
    <w:p>
      <w:pPr>
        <w:numPr>
          <w:ilvl w:val="0"/>
          <w:numId w:val="25"/>
        </w:numPr>
        <w:spacing w:line="360" w:lineRule="auto"/>
      </w:pPr>
      <w:r>
        <w:rPr>
          <w:rFonts w:hint="eastAsia"/>
        </w:rPr>
        <w:t>图像可变吸收率：可分十个级别改变图像的吸收率；</w:t>
      </w:r>
    </w:p>
    <w:p>
      <w:pPr>
        <w:numPr>
          <w:ilvl w:val="0"/>
          <w:numId w:val="25"/>
        </w:numPr>
        <w:spacing w:line="360" w:lineRule="auto"/>
      </w:pPr>
      <w:r>
        <w:rPr>
          <w:rFonts w:hint="eastAsia"/>
        </w:rPr>
        <w:t>薄形物品连续扫描功能</w:t>
      </w:r>
    </w:p>
    <w:p>
      <w:pPr>
        <w:numPr>
          <w:ilvl w:val="0"/>
          <w:numId w:val="25"/>
        </w:numPr>
        <w:spacing w:line="360" w:lineRule="auto"/>
      </w:pPr>
      <w:r>
        <w:rPr>
          <w:rFonts w:hint="eastAsia"/>
        </w:rPr>
        <w:t>高穿透力图像显示：</w:t>
      </w:r>
      <w:r>
        <w:t>增强高吸收率物质（难穿透物质）的对比度，提高难穿透物质背景下的细节显示效果；</w:t>
      </w:r>
    </w:p>
    <w:p>
      <w:pPr>
        <w:numPr>
          <w:ilvl w:val="0"/>
          <w:numId w:val="25"/>
        </w:numPr>
        <w:spacing w:line="360" w:lineRule="auto"/>
      </w:pPr>
      <w:r>
        <w:rPr>
          <w:rFonts w:hint="eastAsia"/>
        </w:rPr>
        <w:t>低穿透力图像显示：</w:t>
      </w:r>
      <w:r>
        <w:t>，提高低吸收率物质（易穿透物质）的对比度，使易穿透物质显示更加清晰；</w:t>
      </w:r>
    </w:p>
    <w:p>
      <w:pPr>
        <w:ind w:left="420"/>
        <w:rPr>
          <w:rFonts w:cs="Arial"/>
        </w:rPr>
      </w:pPr>
      <w:r>
        <w:rPr>
          <w:rFonts w:cs="Arial"/>
        </w:rPr>
        <w:drawing>
          <wp:inline distT="0" distB="0" distL="114300" distR="114300">
            <wp:extent cx="2334895" cy="2048510"/>
            <wp:effectExtent l="0" t="0" r="8255" b="8890"/>
            <wp:docPr id="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9"/>
                    <pic:cNvPicPr>
                      <a:picLocks noChangeAspect="1"/>
                    </pic:cNvPicPr>
                  </pic:nvPicPr>
                  <pic:blipFill>
                    <a:blip r:embed="rId25"/>
                    <a:srcRect l="30377" t="6537" r="4539" b="29471"/>
                    <a:stretch>
                      <a:fillRect/>
                    </a:stretch>
                  </pic:blipFill>
                  <pic:spPr>
                    <a:xfrm>
                      <a:off x="0" y="0"/>
                      <a:ext cx="2334895" cy="2048510"/>
                    </a:xfrm>
                    <a:prstGeom prst="rect">
                      <a:avLst/>
                    </a:prstGeom>
                    <a:noFill/>
                    <a:ln w="9525">
                      <a:noFill/>
                    </a:ln>
                  </pic:spPr>
                </pic:pic>
              </a:graphicData>
            </a:graphic>
          </wp:inline>
        </w:drawing>
      </w:r>
      <w:r>
        <w:rPr>
          <w:rFonts w:cs="Arial"/>
        </w:rPr>
        <w:drawing>
          <wp:inline distT="0" distB="0" distL="114300" distR="114300">
            <wp:extent cx="2334895" cy="2048510"/>
            <wp:effectExtent l="0" t="0" r="8255" b="8890"/>
            <wp:docPr id="3"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0"/>
                    <pic:cNvPicPr>
                      <a:picLocks noChangeAspect="1"/>
                    </pic:cNvPicPr>
                  </pic:nvPicPr>
                  <pic:blipFill>
                    <a:blip r:embed="rId26"/>
                    <a:srcRect l="30377" t="6487" r="4539" b="29521"/>
                    <a:stretch>
                      <a:fillRect/>
                    </a:stretch>
                  </pic:blipFill>
                  <pic:spPr>
                    <a:xfrm>
                      <a:off x="0" y="0"/>
                      <a:ext cx="2334895" cy="2048510"/>
                    </a:xfrm>
                    <a:prstGeom prst="rect">
                      <a:avLst/>
                    </a:prstGeom>
                    <a:noFill/>
                    <a:ln w="9525">
                      <a:noFill/>
                    </a:ln>
                  </pic:spPr>
                </pic:pic>
              </a:graphicData>
            </a:graphic>
          </wp:inline>
        </w:drawing>
      </w:r>
    </w:p>
    <w:p>
      <w:pPr>
        <w:spacing w:line="360" w:lineRule="auto"/>
        <w:ind w:firstLine="1890" w:firstLineChars="900"/>
      </w:pPr>
      <w:r>
        <w:rPr>
          <w:rFonts w:hint="eastAsia"/>
        </w:rPr>
        <w:t>高能穿透                      低能穿透</w:t>
      </w:r>
    </w:p>
    <w:p>
      <w:pPr>
        <w:numPr>
          <w:ilvl w:val="0"/>
          <w:numId w:val="25"/>
        </w:numPr>
        <w:spacing w:line="360" w:lineRule="auto"/>
      </w:pPr>
      <w:r>
        <w:rPr>
          <w:rFonts w:hint="eastAsia"/>
        </w:rPr>
        <w:t>屏幕可分辨灰度等级256级或以上</w:t>
      </w:r>
    </w:p>
    <w:p>
      <w:pPr>
        <w:rPr>
          <w:b/>
        </w:rPr>
      </w:pPr>
    </w:p>
    <w:p>
      <w:pPr>
        <w:numPr>
          <w:ilvl w:val="0"/>
          <w:numId w:val="23"/>
        </w:numPr>
        <w:spacing w:line="360" w:lineRule="auto"/>
        <w:rPr>
          <w:b/>
        </w:rPr>
      </w:pPr>
      <w:r>
        <w:rPr>
          <w:rFonts w:hint="eastAsia"/>
          <w:b/>
        </w:rPr>
        <w:t>图像格式转换功能</w:t>
      </w:r>
    </w:p>
    <w:p>
      <w:pPr>
        <w:spacing w:line="360" w:lineRule="auto"/>
        <w:ind w:firstLine="420"/>
      </w:pPr>
      <w:r>
        <w:rPr>
          <w:rFonts w:hint="eastAsia"/>
        </w:rPr>
        <w:t>对于检索到的图像，操作员还可以点击“导出”，将所选的一幅或多幅图像导出为JPG格式的文件，并将这些文件保存至支持USB接口的移动存储设备（如：U盘）上。</w:t>
      </w:r>
    </w:p>
    <w:p>
      <w:pPr>
        <w:rPr>
          <w:b/>
        </w:rPr>
      </w:pPr>
    </w:p>
    <w:p>
      <w:pPr>
        <w:numPr>
          <w:ilvl w:val="0"/>
          <w:numId w:val="23"/>
        </w:numPr>
        <w:spacing w:line="360" w:lineRule="auto"/>
        <w:rPr>
          <w:b/>
        </w:rPr>
      </w:pPr>
      <w:r>
        <w:rPr>
          <w:rFonts w:hint="eastAsia"/>
          <w:b/>
        </w:rPr>
        <w:t>设备监控功能</w:t>
      </w:r>
    </w:p>
    <w:p>
      <w:pPr>
        <w:spacing w:line="360" w:lineRule="auto"/>
        <w:ind w:firstLine="420"/>
      </w:pPr>
      <w:r>
        <w:rPr>
          <w:rFonts w:hint="eastAsia"/>
        </w:rPr>
        <w:t>此功能查看所有设备的状态信息（关机、运行、故障等）。</w:t>
      </w:r>
    </w:p>
    <w:p/>
    <w:p>
      <w:pPr>
        <w:numPr>
          <w:ilvl w:val="0"/>
          <w:numId w:val="23"/>
        </w:numPr>
        <w:spacing w:line="360" w:lineRule="auto"/>
        <w:rPr>
          <w:b/>
        </w:rPr>
      </w:pPr>
      <w:r>
        <w:rPr>
          <w:rFonts w:hint="eastAsia"/>
          <w:b/>
        </w:rPr>
        <w:t>远程诊断功能</w:t>
      </w:r>
    </w:p>
    <w:p>
      <w:pPr>
        <w:spacing w:line="360" w:lineRule="auto"/>
        <w:ind w:firstLine="420"/>
      </w:pPr>
      <w:r>
        <w:rPr>
          <w:rFonts w:hint="eastAsia"/>
        </w:rPr>
        <w:t>管理员可以对安检机进行远程进行诊断，诊断的结果可以以诊断报告的形式展现。</w:t>
      </w:r>
    </w:p>
    <w:p/>
    <w:p>
      <w:pPr>
        <w:numPr>
          <w:ilvl w:val="0"/>
          <w:numId w:val="23"/>
        </w:numPr>
        <w:spacing w:line="360" w:lineRule="auto"/>
        <w:rPr>
          <w:b/>
        </w:rPr>
      </w:pPr>
      <w:bookmarkStart w:id="186" w:name="_Toc273363673"/>
      <w:r>
        <w:rPr>
          <w:rFonts w:hint="eastAsia"/>
          <w:b/>
        </w:rPr>
        <w:t>图像</w:t>
      </w:r>
      <w:bookmarkEnd w:id="186"/>
      <w:r>
        <w:rPr>
          <w:rFonts w:hint="eastAsia"/>
          <w:b/>
        </w:rPr>
        <w:t>监视功能</w:t>
      </w:r>
    </w:p>
    <w:p>
      <w:pPr>
        <w:spacing w:line="360" w:lineRule="auto"/>
        <w:ind w:firstLine="420"/>
      </w:pPr>
      <w:r>
        <w:rPr>
          <w:rFonts w:hint="eastAsia"/>
        </w:rPr>
        <w:t>该功能可以实时显示所选中安检设备扫描完的图像；用于监视指定安检机的检查过程。</w:t>
      </w:r>
    </w:p>
    <w:p>
      <w:pPr>
        <w:ind w:firstLine="420"/>
      </w:pPr>
    </w:p>
    <w:p>
      <w:pPr>
        <w:numPr>
          <w:ilvl w:val="0"/>
          <w:numId w:val="23"/>
        </w:numPr>
        <w:spacing w:line="360" w:lineRule="auto"/>
        <w:rPr>
          <w:b/>
        </w:rPr>
      </w:pPr>
      <w:r>
        <w:rPr>
          <w:rFonts w:hint="eastAsia"/>
          <w:b/>
        </w:rPr>
        <w:t>TIP考核管理</w:t>
      </w:r>
    </w:p>
    <w:p>
      <w:pPr>
        <w:spacing w:line="360" w:lineRule="auto"/>
        <w:ind w:firstLine="420"/>
      </w:pPr>
      <w:r>
        <w:rPr>
          <w:rFonts w:hint="eastAsia"/>
        </w:rPr>
        <w:t>对各安检机操作员进行考核，例如随机注入各种伪危险品图像或违禁品图像到操作员工作站，考核操作员在岗工作能力。</w:t>
      </w:r>
    </w:p>
    <w:p>
      <w:pPr>
        <w:ind w:firstLine="420"/>
      </w:pPr>
    </w:p>
    <w:p>
      <w:pPr>
        <w:numPr>
          <w:ilvl w:val="0"/>
          <w:numId w:val="23"/>
        </w:numPr>
        <w:spacing w:line="360" w:lineRule="auto"/>
        <w:rPr>
          <w:b/>
        </w:rPr>
      </w:pPr>
      <w:r>
        <w:rPr>
          <w:rFonts w:hint="eastAsia"/>
          <w:b/>
        </w:rPr>
        <w:t>TIP图像生成和插入</w:t>
      </w:r>
    </w:p>
    <w:p>
      <w:pPr>
        <w:spacing w:line="360" w:lineRule="auto"/>
        <w:ind w:firstLine="420"/>
      </w:pPr>
      <w:r>
        <w:rPr>
          <w:rFonts w:hint="eastAsia"/>
        </w:rPr>
        <w:t>各种伪危险品的生成和插入更新等操作，并可以对伪危险品的插入频率和方式等进行设置。</w:t>
      </w:r>
    </w:p>
    <w:p>
      <w:pPr>
        <w:ind w:firstLine="420"/>
      </w:pPr>
    </w:p>
    <w:p>
      <w:pPr>
        <w:numPr>
          <w:ilvl w:val="0"/>
          <w:numId w:val="23"/>
        </w:numPr>
        <w:spacing w:line="360" w:lineRule="auto"/>
        <w:rPr>
          <w:b/>
        </w:rPr>
      </w:pPr>
      <w:r>
        <w:rPr>
          <w:rFonts w:hint="eastAsia"/>
          <w:b/>
        </w:rPr>
        <w:t>查询统计</w:t>
      </w:r>
    </w:p>
    <w:p>
      <w:pPr>
        <w:spacing w:line="360" w:lineRule="auto"/>
        <w:ind w:firstLine="420"/>
      </w:pPr>
      <w:r>
        <w:rPr>
          <w:rFonts w:hint="eastAsia"/>
        </w:rPr>
        <w:t>对操作员处理图像统计，怀疑/开包行李数量统计等，同时支持查询统计结果以报表和图形形式显示及打印输出。</w:t>
      </w:r>
    </w:p>
    <w:p>
      <w:pPr>
        <w:pStyle w:val="3"/>
        <w:numPr>
          <w:ilvl w:val="0"/>
          <w:numId w:val="0"/>
        </w:numPr>
        <w:ind w:left="180"/>
      </w:pPr>
      <w:bookmarkStart w:id="187" w:name="_Toc424999170"/>
      <w:bookmarkStart w:id="188" w:name="_Toc457880685"/>
      <w:bookmarkStart w:id="189" w:name="_Toc18368"/>
      <w:r>
        <w:rPr>
          <w:rFonts w:hint="eastAsia"/>
        </w:rPr>
        <w:t>X</w:t>
      </w:r>
      <w:r>
        <w:rPr>
          <w:rFonts w:hint="eastAsia" w:ascii="宋体" w:hAnsi="宋体" w:eastAsia="宋体"/>
        </w:rPr>
        <w:t>光机图像数据服务器</w:t>
      </w:r>
      <w:bookmarkEnd w:id="187"/>
      <w:bookmarkEnd w:id="188"/>
      <w:bookmarkEnd w:id="189"/>
    </w:p>
    <w:p>
      <w:pPr>
        <w:spacing w:line="360" w:lineRule="auto"/>
        <w:ind w:firstLine="420"/>
      </w:pPr>
      <w:r>
        <w:rPr>
          <w:rFonts w:hint="eastAsia"/>
        </w:rPr>
        <w:t>X光机图像数据服务器提供的主要功能如下：</w:t>
      </w:r>
    </w:p>
    <w:p>
      <w:pPr>
        <w:numPr>
          <w:ilvl w:val="0"/>
          <w:numId w:val="27"/>
        </w:numPr>
        <w:spacing w:line="360" w:lineRule="auto"/>
      </w:pPr>
      <w:r>
        <w:rPr>
          <w:rFonts w:hint="eastAsia"/>
        </w:rPr>
        <w:t>在管理工作站启动同步后或设置为自动同步功能后，执行报关单数据同步；</w:t>
      </w:r>
    </w:p>
    <w:p>
      <w:pPr>
        <w:numPr>
          <w:ilvl w:val="0"/>
          <w:numId w:val="27"/>
        </w:numPr>
        <w:spacing w:line="360" w:lineRule="auto"/>
      </w:pPr>
      <w:r>
        <w:rPr>
          <w:rFonts w:hint="eastAsia"/>
        </w:rPr>
        <w:t>接收X光检查设备发送的X光图像，结合相应报关单数据，分发至快件机检工作站进行判读，并向输送流水线提供快件查验结果，以实现快件自动分拣。对判读流程进行有效管理；</w:t>
      </w:r>
    </w:p>
    <w:p>
      <w:pPr>
        <w:numPr>
          <w:ilvl w:val="0"/>
          <w:numId w:val="27"/>
        </w:numPr>
        <w:spacing w:line="360" w:lineRule="auto"/>
        <w:jc w:val="left"/>
      </w:pPr>
      <w:r>
        <w:rPr>
          <w:rFonts w:hint="eastAsia"/>
        </w:rPr>
        <w:t>为快件机检工作站、管理工作站提供数据存储和查询服务。</w:t>
      </w:r>
    </w:p>
    <w:p>
      <w:pPr>
        <w:numPr>
          <w:ilvl w:val="0"/>
          <w:numId w:val="27"/>
        </w:numPr>
        <w:spacing w:line="360" w:lineRule="auto"/>
      </w:pPr>
      <w:r>
        <w:rPr>
          <w:rFonts w:hint="eastAsia"/>
        </w:rPr>
        <w:t>获取并保存快件条码扫描和录入信息的反馈结果，并与X光图像绑定。</w:t>
      </w:r>
    </w:p>
    <w:p>
      <w:pPr>
        <w:spacing w:line="360" w:lineRule="auto"/>
        <w:ind w:left="840"/>
      </w:pPr>
    </w:p>
    <w:p>
      <w:pPr>
        <w:pStyle w:val="3"/>
        <w:numPr>
          <w:ilvl w:val="0"/>
          <w:numId w:val="0"/>
        </w:numPr>
        <w:ind w:left="180"/>
      </w:pPr>
      <w:bookmarkStart w:id="190" w:name="_Toc304945665"/>
      <w:bookmarkStart w:id="191" w:name="_Toc262227963"/>
      <w:bookmarkStart w:id="192" w:name="_Toc424999171"/>
      <w:bookmarkStart w:id="193" w:name="_Toc457880686"/>
      <w:bookmarkStart w:id="194" w:name="_Toc17344"/>
      <w:r>
        <w:t>X</w:t>
      </w:r>
      <w:r>
        <w:rPr>
          <w:rFonts w:hint="eastAsia" w:ascii="宋体" w:hAnsi="宋体" w:eastAsia="宋体"/>
        </w:rPr>
        <w:t>光机系统模块</w:t>
      </w:r>
      <w:bookmarkEnd w:id="190"/>
      <w:bookmarkEnd w:id="191"/>
      <w:bookmarkEnd w:id="192"/>
      <w:bookmarkEnd w:id="193"/>
      <w:bookmarkEnd w:id="194"/>
      <w:r>
        <w:t xml:space="preserve"> </w:t>
      </w:r>
    </w:p>
    <w:p>
      <w:pPr>
        <w:spacing w:line="360" w:lineRule="auto"/>
        <w:ind w:firstLine="420"/>
      </w:pPr>
      <w:r>
        <w:rPr>
          <w:rFonts w:hint="eastAsia"/>
        </w:rPr>
        <w:t>一条流水线上安装一台 X 射线机工作站，该台X光机配置1套X光图像操作员工作站。</w:t>
      </w:r>
    </w:p>
    <w:p>
      <w:pPr>
        <w:pStyle w:val="3"/>
        <w:numPr>
          <w:ilvl w:val="0"/>
          <w:numId w:val="0"/>
        </w:numPr>
        <w:ind w:left="180"/>
      </w:pPr>
      <w:bookmarkStart w:id="195" w:name="_Toc304945668"/>
      <w:bookmarkStart w:id="196" w:name="_Toc424999172"/>
      <w:bookmarkStart w:id="197" w:name="_Toc262227964"/>
      <w:bookmarkStart w:id="198" w:name="_Toc457880687"/>
      <w:bookmarkStart w:id="199" w:name="_Toc24667"/>
      <w:r>
        <w:rPr>
          <w:rFonts w:hint="eastAsia" w:ascii="宋体" w:hAnsi="宋体" w:eastAsia="宋体"/>
        </w:rPr>
        <w:t>快件查验自动分拣输送系统模块</w:t>
      </w:r>
      <w:bookmarkEnd w:id="195"/>
      <w:bookmarkEnd w:id="196"/>
      <w:bookmarkEnd w:id="197"/>
      <w:bookmarkEnd w:id="198"/>
      <w:bookmarkEnd w:id="199"/>
      <w:bookmarkStart w:id="200" w:name="_Toc240387603"/>
    </w:p>
    <w:p>
      <w:r>
        <w:drawing>
          <wp:inline distT="0" distB="0" distL="114300" distR="114300">
            <wp:extent cx="4894580" cy="3637915"/>
            <wp:effectExtent l="0" t="0" r="1270" b="635"/>
            <wp:docPr id="1" name="图片 21" descr="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1" descr="5-2"/>
                    <pic:cNvPicPr>
                      <a:picLocks noChangeAspect="1"/>
                    </pic:cNvPicPr>
                  </pic:nvPicPr>
                  <pic:blipFill>
                    <a:blip r:embed="rId27"/>
                    <a:stretch>
                      <a:fillRect/>
                    </a:stretch>
                  </pic:blipFill>
                  <pic:spPr>
                    <a:xfrm>
                      <a:off x="0" y="0"/>
                      <a:ext cx="4894580" cy="3637915"/>
                    </a:xfrm>
                    <a:prstGeom prst="rect">
                      <a:avLst/>
                    </a:prstGeom>
                    <a:noFill/>
                    <a:ln w="9525">
                      <a:noFill/>
                    </a:ln>
                  </pic:spPr>
                </pic:pic>
              </a:graphicData>
            </a:graphic>
          </wp:inline>
        </w:drawing>
      </w:r>
      <w:bookmarkStart w:id="201" w:name="_Toc392125756"/>
      <w:bookmarkStart w:id="202" w:name="_Toc26062"/>
    </w:p>
    <w:p>
      <w:pPr>
        <w:rPr>
          <w:b/>
        </w:rPr>
      </w:pPr>
      <w:bookmarkStart w:id="203" w:name="_Toc424999173"/>
    </w:p>
    <w:p>
      <w:pPr>
        <w:rPr>
          <w:b/>
        </w:rPr>
      </w:pPr>
      <w:r>
        <w:rPr>
          <w:b/>
        </w:rPr>
        <w:t>总体要求</w:t>
      </w:r>
      <w:bookmarkEnd w:id="201"/>
      <w:bookmarkEnd w:id="202"/>
      <w:bookmarkEnd w:id="203"/>
    </w:p>
    <w:p>
      <w:pPr>
        <w:spacing w:line="360" w:lineRule="auto"/>
        <w:ind w:firstLine="142"/>
      </w:pPr>
      <w:r>
        <w:rPr>
          <w:rFonts w:hint="eastAsia"/>
        </w:rPr>
        <w:t xml:space="preserve">1、 </w:t>
      </w:r>
      <w:r>
        <w:t>线体的规格（</w:t>
      </w:r>
      <w:r>
        <w:rPr>
          <w:rFonts w:hint="eastAsia"/>
        </w:rPr>
        <w:t>参照</w:t>
      </w:r>
      <w:r>
        <w:t>方案布局图）；</w:t>
      </w:r>
    </w:p>
    <w:p>
      <w:pPr>
        <w:spacing w:line="360" w:lineRule="auto"/>
        <w:ind w:firstLine="142"/>
      </w:pPr>
      <w:bookmarkStart w:id="204" w:name="_Toc424999174"/>
      <w:r>
        <w:t>2</w:t>
      </w:r>
      <w:r>
        <w:rPr>
          <w:rFonts w:hint="eastAsia"/>
        </w:rPr>
        <w:t>、</w:t>
      </w:r>
      <w:r>
        <w:t xml:space="preserve"> 线体材质为碳钢，表面喷漆处理；所有加工材料不允许有飞边、毛刺、裂</w:t>
      </w:r>
      <w:bookmarkEnd w:id="204"/>
      <w:r>
        <w:t>纹，相邻接口应过渡光滑，不允许有逆向阶差；</w:t>
      </w:r>
    </w:p>
    <w:p>
      <w:pPr>
        <w:spacing w:line="360" w:lineRule="auto"/>
        <w:ind w:firstLine="142"/>
      </w:pPr>
      <w:bookmarkStart w:id="205" w:name="_Toc424999175"/>
      <w:r>
        <w:t>3</w:t>
      </w:r>
      <w:r>
        <w:rPr>
          <w:rFonts w:hint="eastAsia"/>
        </w:rPr>
        <w:t xml:space="preserve">、 </w:t>
      </w:r>
      <w:r>
        <w:t>驱动装置转动平稳，无卡阻撞击现象，</w:t>
      </w:r>
      <w:r>
        <w:rPr>
          <w:rFonts w:hint="eastAsia"/>
        </w:rPr>
        <w:t>线体传输及分流顺畅平稳</w:t>
      </w:r>
      <w:r>
        <w:t>；</w:t>
      </w:r>
      <w:bookmarkEnd w:id="205"/>
    </w:p>
    <w:p>
      <w:pPr>
        <w:spacing w:line="360" w:lineRule="auto"/>
        <w:ind w:firstLine="142"/>
      </w:pPr>
      <w:r>
        <w:t>4</w:t>
      </w:r>
      <w:r>
        <w:rPr>
          <w:rFonts w:hint="eastAsia"/>
        </w:rPr>
        <w:t xml:space="preserve">、 </w:t>
      </w:r>
      <w:r>
        <w:t>驱动装置连续工作8小时后温升小于30</w:t>
      </w:r>
      <w:r>
        <w:rPr>
          <w:rFonts w:hint="eastAsia"/>
        </w:rPr>
        <w:t>℃</w:t>
      </w:r>
      <w:r>
        <w:t>。</w:t>
      </w:r>
    </w:p>
    <w:p>
      <w:pPr>
        <w:spacing w:line="360" w:lineRule="auto"/>
        <w:ind w:firstLine="142"/>
      </w:pPr>
      <w:r>
        <w:t>5</w:t>
      </w:r>
      <w:r>
        <w:rPr>
          <w:rFonts w:hint="eastAsia"/>
        </w:rPr>
        <w:t xml:space="preserve">、 </w:t>
      </w:r>
      <w:r>
        <w:t>主驱动采用</w:t>
      </w:r>
      <w:r>
        <w:rPr>
          <w:rFonts w:hint="eastAsia"/>
        </w:rPr>
        <w:t>品牌</w:t>
      </w:r>
      <w:r>
        <w:t>电机，电机应有过载过流保护功能；</w:t>
      </w:r>
    </w:p>
    <w:p>
      <w:pPr>
        <w:spacing w:line="360" w:lineRule="auto"/>
        <w:ind w:firstLine="142"/>
      </w:pPr>
      <w:r>
        <w:t>6</w:t>
      </w:r>
      <w:r>
        <w:rPr>
          <w:rFonts w:hint="eastAsia"/>
        </w:rPr>
        <w:t xml:space="preserve">、 </w:t>
      </w:r>
      <w:r>
        <w:t>皮带机应有防止皮带跑偏装置及纠偏调节机构，确保纠偏效果良好，直线皮带机在正常工作速度下最大跑偏量单边不超过5mm，滚筒为鼓形具有自动纠偏功能；</w:t>
      </w:r>
    </w:p>
    <w:p>
      <w:pPr>
        <w:spacing w:line="360" w:lineRule="auto"/>
        <w:ind w:firstLine="142"/>
      </w:pPr>
      <w:r>
        <w:t>7</w:t>
      </w:r>
      <w:r>
        <w:rPr>
          <w:rFonts w:hint="eastAsia"/>
        </w:rPr>
        <w:t xml:space="preserve">、 </w:t>
      </w:r>
      <w:r>
        <w:t>皮带机应有张紧调节机构，张紧可靠，调整方便；</w:t>
      </w:r>
    </w:p>
    <w:p>
      <w:pPr>
        <w:spacing w:line="360" w:lineRule="auto"/>
        <w:ind w:firstLine="142"/>
      </w:pPr>
      <w:r>
        <w:t>8</w:t>
      </w:r>
      <w:r>
        <w:rPr>
          <w:rFonts w:hint="eastAsia"/>
        </w:rPr>
        <w:t xml:space="preserve">、 </w:t>
      </w:r>
      <w:r>
        <w:t>各线体线速度按选型要求；</w:t>
      </w:r>
    </w:p>
    <w:p>
      <w:pPr>
        <w:spacing w:line="360" w:lineRule="auto"/>
        <w:ind w:firstLine="142"/>
      </w:pPr>
      <w:r>
        <w:t>9</w:t>
      </w:r>
      <w:r>
        <w:rPr>
          <w:rFonts w:hint="eastAsia"/>
        </w:rPr>
        <w:t>、</w:t>
      </w:r>
      <w:r>
        <w:t xml:space="preserve"> 皮带机脚架设计时，考虑到清理卫生的难易；</w:t>
      </w:r>
    </w:p>
    <w:p>
      <w:pPr>
        <w:spacing w:line="360" w:lineRule="auto"/>
        <w:ind w:firstLine="142"/>
      </w:pPr>
      <w:r>
        <w:t>10</w:t>
      </w:r>
      <w:r>
        <w:rPr>
          <w:rFonts w:hint="eastAsia"/>
        </w:rPr>
        <w:t>、</w:t>
      </w:r>
      <w:r>
        <w:t>皮带材质的要求，按技术标书中的关键部件选型要求；</w:t>
      </w:r>
    </w:p>
    <w:p>
      <w:pPr>
        <w:spacing w:line="360" w:lineRule="auto"/>
        <w:ind w:firstLine="142"/>
      </w:pPr>
      <w:r>
        <w:t>11</w:t>
      </w:r>
      <w:r>
        <w:rPr>
          <w:rFonts w:hint="eastAsia"/>
        </w:rPr>
        <w:t>、</w:t>
      </w:r>
      <w:r>
        <w:t>本工程新制设备所用钢材均采用合格产品；</w:t>
      </w:r>
    </w:p>
    <w:p>
      <w:pPr>
        <w:spacing w:line="360" w:lineRule="auto"/>
        <w:ind w:firstLine="142"/>
      </w:pPr>
      <w:r>
        <w:t>12</w:t>
      </w:r>
      <w:r>
        <w:rPr>
          <w:rFonts w:hint="eastAsia"/>
        </w:rPr>
        <w:t>、</w:t>
      </w:r>
      <w:r>
        <w:t>轴类零部件采用优质钢材热处理加工制作；</w:t>
      </w:r>
    </w:p>
    <w:p>
      <w:pPr>
        <w:spacing w:line="360" w:lineRule="auto"/>
        <w:ind w:firstLine="142"/>
      </w:pPr>
      <w:r>
        <w:t>1</w:t>
      </w:r>
      <w:r>
        <w:rPr>
          <w:rFonts w:hint="eastAsia"/>
        </w:rPr>
        <w:t>3、</w:t>
      </w:r>
      <w:r>
        <w:t xml:space="preserve">电气控制系统采用品牌PLC实行总体控制，输入、输出需要预留各10％以上点,整体电控须有高分辨率触摸屏控制； </w:t>
      </w:r>
    </w:p>
    <w:p>
      <w:pPr>
        <w:spacing w:line="360" w:lineRule="auto"/>
        <w:ind w:firstLine="142"/>
      </w:pPr>
      <w:bookmarkStart w:id="206" w:name="_Toc424999176"/>
      <w:r>
        <w:rPr>
          <w:rFonts w:hint="eastAsia"/>
        </w:rPr>
        <w:t>14、</w:t>
      </w:r>
      <w:r>
        <w:t>监控系统能够实现对整个运行过程的实时监控，通过监控画面准确找到故</w:t>
      </w:r>
      <w:bookmarkEnd w:id="206"/>
      <w:r>
        <w:t>障的位置，并记录故障的发生时间及代码等信息；</w:t>
      </w:r>
    </w:p>
    <w:p>
      <w:pPr>
        <w:spacing w:line="360" w:lineRule="auto"/>
        <w:ind w:firstLine="142"/>
      </w:pPr>
      <w:bookmarkStart w:id="207" w:name="_Toc424999177"/>
      <w:r>
        <w:t>1</w:t>
      </w:r>
      <w:r>
        <w:rPr>
          <w:rFonts w:hint="eastAsia"/>
        </w:rPr>
        <w:t>5、</w:t>
      </w:r>
      <w:r>
        <w:t>设备应有接地</w:t>
      </w:r>
      <w:r>
        <w:rPr>
          <w:rFonts w:hint="eastAsia"/>
        </w:rPr>
        <w:t>及漏电</w:t>
      </w:r>
      <w:r>
        <w:t>保护装置</w:t>
      </w:r>
      <w:r>
        <w:rPr>
          <w:rFonts w:hint="eastAsia"/>
        </w:rPr>
        <w:t>，穿线管采用钢管</w:t>
      </w:r>
      <w:r>
        <w:t>；</w:t>
      </w:r>
      <w:bookmarkEnd w:id="207"/>
    </w:p>
    <w:p>
      <w:pPr>
        <w:spacing w:line="360" w:lineRule="auto"/>
        <w:ind w:firstLine="142"/>
      </w:pPr>
      <w:r>
        <w:t>1</w:t>
      </w:r>
      <w:r>
        <w:rPr>
          <w:rFonts w:hint="eastAsia"/>
        </w:rPr>
        <w:t>6、</w:t>
      </w:r>
      <w:r>
        <w:t>在系统人工操作的位置须有急停控制开关；并设置在显眼和便于操作位置；</w:t>
      </w:r>
    </w:p>
    <w:p>
      <w:pPr>
        <w:spacing w:line="360" w:lineRule="auto"/>
        <w:ind w:firstLine="142"/>
      </w:pPr>
      <w:bookmarkStart w:id="208" w:name="_Toc424999178"/>
      <w:r>
        <w:rPr>
          <w:rFonts w:hint="eastAsia"/>
        </w:rPr>
        <w:t>17、</w:t>
      </w:r>
      <w:r>
        <w:t>各电缆、电线的分布必须具有桥架、线管或线槽等防护措施；确保在电缆</w:t>
      </w:r>
      <w:bookmarkEnd w:id="208"/>
      <w:r>
        <w:t>随机构移动中不被拉断或与其它部件卡阻；在各动作部位具有警示标识或防护措施；</w:t>
      </w:r>
    </w:p>
    <w:p>
      <w:pPr>
        <w:spacing w:line="360" w:lineRule="auto"/>
        <w:ind w:firstLine="142"/>
      </w:pPr>
      <w:bookmarkStart w:id="209" w:name="_Toc424999179"/>
      <w:r>
        <w:rPr>
          <w:rFonts w:hint="eastAsia"/>
        </w:rPr>
        <w:t>18、</w:t>
      </w:r>
      <w:r>
        <w:t>线槽走线应固定于脚架上方，整体回路的设计应美观、大方、安全；</w:t>
      </w:r>
      <w:bookmarkEnd w:id="209"/>
    </w:p>
    <w:p>
      <w:pPr>
        <w:spacing w:line="360" w:lineRule="auto"/>
        <w:ind w:firstLine="142"/>
      </w:pPr>
      <w:r>
        <w:rPr>
          <w:rFonts w:hint="eastAsia"/>
        </w:rPr>
        <w:t>19、</w:t>
      </w:r>
      <w:r>
        <w:t>系统设备运行时要保证线体间过渡处快件运行通畅，无卡阻现象，各线体的连接处需设置必要的过渡机构；</w:t>
      </w:r>
    </w:p>
    <w:p>
      <w:pPr>
        <w:spacing w:line="360" w:lineRule="auto"/>
        <w:ind w:firstLine="142"/>
      </w:pPr>
      <w:bookmarkStart w:id="210" w:name="_Toc424999180"/>
      <w:r>
        <w:t>2</w:t>
      </w:r>
      <w:r>
        <w:rPr>
          <w:rFonts w:hint="eastAsia"/>
        </w:rPr>
        <w:t>0、线体输送及自动分流过程中快件</w:t>
      </w:r>
      <w:r>
        <w:t>不能发生挤压、碰撞，保证</w:t>
      </w:r>
      <w:r>
        <w:rPr>
          <w:rFonts w:hint="eastAsia"/>
        </w:rPr>
        <w:t>平稳</w:t>
      </w:r>
      <w:r>
        <w:t>有序运行；</w:t>
      </w:r>
      <w:bookmarkEnd w:id="210"/>
    </w:p>
    <w:p>
      <w:pPr>
        <w:spacing w:line="360" w:lineRule="auto"/>
        <w:ind w:firstLine="142"/>
      </w:pPr>
      <w:r>
        <w:rPr>
          <w:rFonts w:hint="eastAsia"/>
        </w:rPr>
        <w:t>21、</w:t>
      </w:r>
      <w:r>
        <w:t>产品设计、制造、安装调试必须符合相应的国家标准和规范要求。</w:t>
      </w:r>
    </w:p>
    <w:p>
      <w:pPr>
        <w:pStyle w:val="3"/>
        <w:numPr>
          <w:ilvl w:val="0"/>
          <w:numId w:val="0"/>
        </w:numPr>
        <w:ind w:left="180"/>
        <w:rPr>
          <w:szCs w:val="24"/>
        </w:rPr>
      </w:pPr>
      <w:bookmarkStart w:id="211" w:name="_Toc304945669"/>
      <w:bookmarkStart w:id="212" w:name="_Toc457880688"/>
      <w:bookmarkStart w:id="213" w:name="_Toc262227965"/>
      <w:bookmarkStart w:id="214" w:name="_Toc424999185"/>
      <w:bookmarkStart w:id="215" w:name="_Toc3239"/>
      <w:r>
        <w:rPr>
          <w:rFonts w:hint="eastAsia" w:ascii="宋体" w:hAnsi="宋体" w:eastAsia="宋体"/>
        </w:rPr>
        <w:t>快件查验输送实时控制系统模块</w:t>
      </w:r>
      <w:bookmarkEnd w:id="211"/>
      <w:bookmarkEnd w:id="212"/>
      <w:bookmarkEnd w:id="213"/>
      <w:bookmarkEnd w:id="214"/>
      <w:bookmarkEnd w:id="215"/>
    </w:p>
    <w:p>
      <w:pPr>
        <w:spacing w:line="360" w:lineRule="auto"/>
        <w:ind w:firstLine="420" w:firstLineChars="200"/>
      </w:pPr>
      <w:r>
        <w:rPr>
          <w:rFonts w:hint="eastAsia"/>
        </w:rPr>
        <w:t>主控计算机实时控制程序通过工业以太网，采集快件监管输送系统中各区域分布的传感器、条码阅读器等实时信息，再通过实时控制程序运行，通过网络实现分布式控制，满足海关对国际快件监管的全部生产工艺要求。</w:t>
      </w:r>
      <w:bookmarkStart w:id="216" w:name="_Toc424999191"/>
    </w:p>
    <w:p>
      <w:pPr>
        <w:pStyle w:val="20"/>
        <w:numPr>
          <w:ilvl w:val="0"/>
          <w:numId w:val="28"/>
        </w:numPr>
        <w:ind w:firstLineChars="0"/>
        <w:rPr>
          <w:rFonts w:ascii="宋体" w:hAnsi="宋体" w:eastAsia="宋体"/>
          <w:sz w:val="21"/>
          <w:szCs w:val="21"/>
        </w:rPr>
      </w:pPr>
      <w:r>
        <w:rPr>
          <w:rFonts w:hint="eastAsia" w:ascii="宋体" w:hAnsi="宋体" w:eastAsia="宋体"/>
          <w:sz w:val="21"/>
          <w:szCs w:val="21"/>
        </w:rPr>
        <w:t>控制软件</w:t>
      </w:r>
      <w:bookmarkEnd w:id="216"/>
    </w:p>
    <w:p>
      <w:pPr>
        <w:ind w:firstLine="420" w:firstLineChars="200"/>
      </w:pPr>
      <w:r>
        <w:rPr>
          <w:rFonts w:hint="eastAsia"/>
        </w:rPr>
        <w:t xml:space="preserve">通过对硬件信号采集，完成系统的机械结构的动作，使之有机的结合。达到流程的正确性。 </w:t>
      </w:r>
      <w:bookmarkStart w:id="217" w:name="_Toc424999192"/>
    </w:p>
    <w:p>
      <w:pPr>
        <w:pStyle w:val="20"/>
        <w:numPr>
          <w:ilvl w:val="0"/>
          <w:numId w:val="28"/>
        </w:numPr>
        <w:ind w:firstLineChars="0"/>
        <w:rPr>
          <w:rFonts w:ascii="宋体" w:hAnsi="宋体" w:eastAsia="宋体"/>
          <w:sz w:val="21"/>
          <w:szCs w:val="21"/>
        </w:rPr>
      </w:pPr>
      <w:r>
        <w:rPr>
          <w:rFonts w:hint="eastAsia" w:ascii="宋体" w:hAnsi="宋体" w:eastAsia="宋体"/>
          <w:sz w:val="21"/>
          <w:szCs w:val="21"/>
        </w:rPr>
        <w:t>监控软件</w:t>
      </w:r>
      <w:bookmarkEnd w:id="217"/>
    </w:p>
    <w:p>
      <w:pPr>
        <w:ind w:firstLine="420" w:firstLineChars="200"/>
      </w:pPr>
      <w:r>
        <w:rPr>
          <w:rFonts w:hint="eastAsia"/>
        </w:rPr>
        <w:t>通过对流水线各个检测点信号的采集，实施图形化反映系统各节点的工作状态，更直观的提示操作人员及时发现和处理故障。</w:t>
      </w:r>
      <w:bookmarkStart w:id="218" w:name="_Toc424999193"/>
    </w:p>
    <w:p>
      <w:pPr>
        <w:pStyle w:val="20"/>
        <w:numPr>
          <w:ilvl w:val="0"/>
          <w:numId w:val="28"/>
        </w:numPr>
        <w:ind w:firstLineChars="0"/>
        <w:rPr>
          <w:rFonts w:ascii="宋体" w:hAnsi="宋体" w:eastAsia="宋体"/>
          <w:sz w:val="21"/>
          <w:szCs w:val="21"/>
        </w:rPr>
      </w:pPr>
      <w:r>
        <w:rPr>
          <w:rFonts w:hint="eastAsia" w:ascii="宋体" w:hAnsi="宋体" w:eastAsia="宋体"/>
          <w:sz w:val="21"/>
          <w:szCs w:val="21"/>
        </w:rPr>
        <w:t>上位机软件</w:t>
      </w:r>
      <w:bookmarkEnd w:id="218"/>
    </w:p>
    <w:p>
      <w:pPr>
        <w:spacing w:line="360" w:lineRule="auto"/>
        <w:ind w:firstLine="420" w:firstLineChars="200"/>
      </w:pPr>
      <w:r>
        <w:rPr>
          <w:rFonts w:hint="eastAsia"/>
        </w:rPr>
        <w:t>上位机软件将控制软件采集到的信息进行统一处理，并与平台数据库进行信息交互，将数据平台的信息实时转给控制系统，以便控制系统进行确定地分流操作。</w:t>
      </w:r>
    </w:p>
    <w:p>
      <w:pPr>
        <w:spacing w:line="360" w:lineRule="auto"/>
        <w:ind w:firstLine="420" w:firstLineChars="200"/>
      </w:pPr>
      <w:r>
        <w:rPr>
          <w:rFonts w:hint="eastAsia"/>
        </w:rPr>
        <w:t>上位机软件界面如下图所示：</w:t>
      </w:r>
    </w:p>
    <w:p>
      <w:pPr>
        <w:spacing w:line="360" w:lineRule="auto"/>
        <w:ind w:firstLine="420" w:firstLineChars="200"/>
      </w:pPr>
      <w:r>
        <w:drawing>
          <wp:anchor distT="0" distB="0" distL="114300" distR="114300" simplePos="0" relativeHeight="251658240" behindDoc="1" locked="0" layoutInCell="1" allowOverlap="1">
            <wp:simplePos x="0" y="0"/>
            <wp:positionH relativeFrom="column">
              <wp:posOffset>264795</wp:posOffset>
            </wp:positionH>
            <wp:positionV relativeFrom="paragraph">
              <wp:posOffset>-1905</wp:posOffset>
            </wp:positionV>
            <wp:extent cx="5106670" cy="3069590"/>
            <wp:effectExtent l="0" t="0" r="17780" b="16510"/>
            <wp:wrapNone/>
            <wp:docPr id="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1"/>
                    <pic:cNvPicPr>
                      <a:picLocks noChangeAspect="1"/>
                    </pic:cNvPicPr>
                  </pic:nvPicPr>
                  <pic:blipFill>
                    <a:blip r:embed="rId28"/>
                    <a:stretch>
                      <a:fillRect/>
                    </a:stretch>
                  </pic:blipFill>
                  <pic:spPr>
                    <a:xfrm>
                      <a:off x="0" y="0"/>
                      <a:ext cx="5106670" cy="3069590"/>
                    </a:xfrm>
                    <a:prstGeom prst="rect">
                      <a:avLst/>
                    </a:prstGeom>
                    <a:noFill/>
                    <a:ln w="9525">
                      <a:noFill/>
                    </a:ln>
                  </pic:spPr>
                </pic:pic>
              </a:graphicData>
            </a:graphic>
          </wp:anchor>
        </w:drawing>
      </w:r>
    </w:p>
    <w:p>
      <w:pPr>
        <w:spacing w:line="360" w:lineRule="auto"/>
        <w:ind w:firstLine="420" w:firstLineChars="200"/>
      </w:pPr>
    </w:p>
    <w:p>
      <w:pPr>
        <w:spacing w:line="360" w:lineRule="auto"/>
        <w:ind w:firstLine="420" w:firstLineChars="200"/>
      </w:pPr>
    </w:p>
    <w:p>
      <w:pPr>
        <w:spacing w:line="360" w:lineRule="auto"/>
        <w:ind w:firstLine="420" w:firstLineChars="200"/>
      </w:pPr>
    </w:p>
    <w:p>
      <w:pPr>
        <w:spacing w:line="360" w:lineRule="auto"/>
        <w:ind w:firstLine="420" w:firstLineChars="200"/>
      </w:pPr>
    </w:p>
    <w:p>
      <w:pPr>
        <w:spacing w:line="360" w:lineRule="auto"/>
        <w:ind w:firstLine="420" w:firstLineChars="200"/>
      </w:pPr>
    </w:p>
    <w:p>
      <w:pPr>
        <w:spacing w:line="360" w:lineRule="auto"/>
        <w:ind w:firstLine="420" w:firstLineChars="200"/>
      </w:pPr>
    </w:p>
    <w:p>
      <w:pPr>
        <w:spacing w:line="360" w:lineRule="auto"/>
        <w:ind w:firstLine="420" w:firstLineChars="200"/>
      </w:pPr>
    </w:p>
    <w:p>
      <w:pPr>
        <w:spacing w:line="360" w:lineRule="auto"/>
        <w:ind w:firstLine="420" w:firstLineChars="200"/>
      </w:pPr>
    </w:p>
    <w:p>
      <w:pPr>
        <w:spacing w:line="360" w:lineRule="auto"/>
        <w:ind w:firstLine="420" w:firstLineChars="200"/>
      </w:pPr>
    </w:p>
    <w:p>
      <w:pPr>
        <w:spacing w:line="360" w:lineRule="auto"/>
        <w:ind w:firstLine="420" w:firstLineChars="200"/>
      </w:pPr>
    </w:p>
    <w:p>
      <w:pPr>
        <w:spacing w:line="360" w:lineRule="auto"/>
        <w:ind w:firstLine="420" w:firstLineChars="200"/>
      </w:pPr>
    </w:p>
    <w:p>
      <w:pPr>
        <w:pStyle w:val="3"/>
        <w:numPr>
          <w:ilvl w:val="0"/>
          <w:numId w:val="0"/>
        </w:numPr>
        <w:ind w:left="180"/>
      </w:pPr>
      <w:bookmarkStart w:id="219" w:name="_Toc424999194"/>
      <w:bookmarkStart w:id="220" w:name="_Toc304945670"/>
      <w:bookmarkStart w:id="221" w:name="_Toc9632"/>
      <w:bookmarkStart w:id="222" w:name="_Toc457880689"/>
      <w:r>
        <w:rPr>
          <w:rFonts w:hint="eastAsia" w:ascii="宋体" w:hAnsi="宋体" w:eastAsia="宋体"/>
        </w:rPr>
        <w:t>系统安全设计</w:t>
      </w:r>
      <w:bookmarkEnd w:id="219"/>
      <w:bookmarkEnd w:id="220"/>
      <w:bookmarkEnd w:id="221"/>
      <w:bookmarkEnd w:id="222"/>
      <w:bookmarkStart w:id="223" w:name="_Toc304945671"/>
    </w:p>
    <w:bookmarkEnd w:id="223"/>
    <w:p>
      <w:pPr>
        <w:pStyle w:val="20"/>
        <w:numPr>
          <w:ilvl w:val="0"/>
          <w:numId w:val="29"/>
        </w:numPr>
        <w:ind w:firstLineChars="0"/>
        <w:rPr>
          <w:rFonts w:ascii="宋体" w:hAnsi="宋体" w:eastAsia="宋体"/>
          <w:sz w:val="21"/>
          <w:szCs w:val="21"/>
        </w:rPr>
      </w:pPr>
      <w:r>
        <w:rPr>
          <w:rFonts w:hint="eastAsia" w:ascii="宋体" w:hAnsi="宋体" w:eastAsia="宋体"/>
          <w:sz w:val="21"/>
          <w:szCs w:val="21"/>
        </w:rPr>
        <w:t>网络安全</w:t>
      </w:r>
    </w:p>
    <w:p>
      <w:pPr>
        <w:spacing w:line="360" w:lineRule="auto"/>
        <w:ind w:firstLine="420" w:firstLineChars="200"/>
      </w:pPr>
      <w:r>
        <w:rPr>
          <w:rFonts w:hint="eastAsia"/>
        </w:rPr>
        <w:t>由于系统为海关查验专用网络，不涉及与公用网络的接入，因此，系统本身具有较好的物理安全性。因此，主要从授权访问、数据保护和病毒防护达到系统的安全保护。</w:t>
      </w:r>
    </w:p>
    <w:p>
      <w:pPr>
        <w:numPr>
          <w:ilvl w:val="0"/>
          <w:numId w:val="30"/>
        </w:numPr>
        <w:spacing w:line="360" w:lineRule="auto"/>
      </w:pPr>
      <w:r>
        <w:rPr>
          <w:rFonts w:hint="eastAsia"/>
        </w:rPr>
        <w:t>采用域用户验证等操作系统级安全策略，防止非法用户接入系统；</w:t>
      </w:r>
    </w:p>
    <w:p>
      <w:pPr>
        <w:numPr>
          <w:ilvl w:val="0"/>
          <w:numId w:val="30"/>
        </w:numPr>
        <w:spacing w:line="360" w:lineRule="auto"/>
      </w:pPr>
      <w:r>
        <w:rPr>
          <w:rFonts w:hint="eastAsia"/>
        </w:rPr>
        <w:t>在数据库级通过存储过程或在应用服务器级通过接口模块提供数据访问功能，限制数据访问能力；</w:t>
      </w:r>
    </w:p>
    <w:p>
      <w:pPr>
        <w:numPr>
          <w:ilvl w:val="0"/>
          <w:numId w:val="30"/>
        </w:numPr>
        <w:spacing w:line="360" w:lineRule="auto"/>
      </w:pPr>
      <w:r>
        <w:rPr>
          <w:rFonts w:hint="eastAsia"/>
        </w:rPr>
        <w:t>病毒防护包括桌面终端防毒、服务器防毒；</w:t>
      </w:r>
      <w:bookmarkStart w:id="224" w:name="_Toc304945672"/>
    </w:p>
    <w:p>
      <w:pPr>
        <w:pStyle w:val="20"/>
        <w:numPr>
          <w:ilvl w:val="0"/>
          <w:numId w:val="29"/>
        </w:numPr>
        <w:ind w:firstLineChars="0"/>
        <w:rPr>
          <w:rFonts w:ascii="宋体" w:hAnsi="宋体" w:eastAsia="宋体"/>
          <w:sz w:val="21"/>
          <w:szCs w:val="21"/>
        </w:rPr>
      </w:pPr>
      <w:r>
        <w:rPr>
          <w:rFonts w:hint="eastAsia" w:ascii="宋体" w:hAnsi="宋体" w:eastAsia="宋体"/>
          <w:sz w:val="21"/>
          <w:szCs w:val="21"/>
        </w:rPr>
        <w:t>数据存储安全</w:t>
      </w:r>
      <w:bookmarkEnd w:id="224"/>
    </w:p>
    <w:p>
      <w:pPr>
        <w:numPr>
          <w:ilvl w:val="0"/>
          <w:numId w:val="30"/>
        </w:numPr>
        <w:spacing w:line="360" w:lineRule="auto"/>
        <w:ind w:left="812" w:hanging="332"/>
      </w:pPr>
      <w:r>
        <w:rPr>
          <w:rFonts w:hint="eastAsia"/>
        </w:rPr>
        <w:t>数据集中存储，有利于各项业务间的联动处理，并且有利于实现分级授权，加强控制和监督。</w:t>
      </w:r>
    </w:p>
    <w:p>
      <w:pPr>
        <w:numPr>
          <w:ilvl w:val="0"/>
          <w:numId w:val="30"/>
        </w:numPr>
        <w:spacing w:line="360" w:lineRule="auto"/>
        <w:ind w:left="812" w:hanging="332"/>
      </w:pPr>
      <w:r>
        <w:rPr>
          <w:rFonts w:hint="eastAsia"/>
        </w:rPr>
        <w:t>对集中存储服务器采用RAID，减小因硬盘故障导致数据丢失的概率；</w:t>
      </w:r>
    </w:p>
    <w:p>
      <w:pPr>
        <w:numPr>
          <w:ilvl w:val="0"/>
          <w:numId w:val="30"/>
        </w:numPr>
        <w:spacing w:line="360" w:lineRule="auto"/>
        <w:ind w:left="812" w:hanging="332"/>
      </w:pPr>
      <w:r>
        <w:rPr>
          <w:rFonts w:hint="eastAsia"/>
        </w:rPr>
        <w:t>采用双机，保证业务连续性（可选）；</w:t>
      </w:r>
    </w:p>
    <w:p>
      <w:pPr>
        <w:numPr>
          <w:ilvl w:val="0"/>
          <w:numId w:val="30"/>
        </w:numPr>
        <w:spacing w:line="360" w:lineRule="auto"/>
        <w:ind w:left="812" w:hanging="332"/>
      </w:pPr>
      <w:r>
        <w:rPr>
          <w:rFonts w:hint="eastAsia"/>
        </w:rPr>
        <w:t>根据系统安全性级别，可采用不同的备份策略，推荐每月全备，每周差备的方式进行（可选）。</w:t>
      </w:r>
      <w:bookmarkStart w:id="225" w:name="_Toc304945673"/>
    </w:p>
    <w:p>
      <w:pPr>
        <w:pStyle w:val="20"/>
        <w:numPr>
          <w:ilvl w:val="0"/>
          <w:numId w:val="29"/>
        </w:numPr>
        <w:ind w:firstLineChars="0"/>
        <w:rPr>
          <w:rFonts w:ascii="宋体" w:hAnsi="宋体" w:eastAsia="宋体"/>
          <w:sz w:val="21"/>
          <w:szCs w:val="21"/>
        </w:rPr>
      </w:pPr>
      <w:r>
        <w:rPr>
          <w:rFonts w:hint="eastAsia" w:ascii="宋体" w:hAnsi="宋体" w:eastAsia="宋体"/>
          <w:sz w:val="21"/>
          <w:szCs w:val="21"/>
        </w:rPr>
        <w:t>用户终端安全</w:t>
      </w:r>
      <w:bookmarkEnd w:id="225"/>
    </w:p>
    <w:p>
      <w:pPr>
        <w:numPr>
          <w:ilvl w:val="0"/>
          <w:numId w:val="30"/>
        </w:numPr>
        <w:spacing w:line="360" w:lineRule="auto"/>
        <w:ind w:left="812" w:hanging="332"/>
      </w:pPr>
      <w:r>
        <w:rPr>
          <w:rFonts w:hint="eastAsia"/>
        </w:rPr>
        <w:t>安装防病毒软件；</w:t>
      </w:r>
    </w:p>
    <w:p>
      <w:pPr>
        <w:numPr>
          <w:ilvl w:val="0"/>
          <w:numId w:val="30"/>
        </w:numPr>
        <w:spacing w:line="360" w:lineRule="auto"/>
        <w:ind w:left="812" w:hanging="332"/>
      </w:pPr>
      <w:r>
        <w:rPr>
          <w:rFonts w:hint="eastAsia"/>
        </w:rPr>
        <w:t>屏蔽操作系统界面，系统开机直接进入应用软件，退出直接关机。用户不能返回操作系统；</w:t>
      </w:r>
    </w:p>
    <w:p>
      <w:pPr>
        <w:numPr>
          <w:ilvl w:val="0"/>
          <w:numId w:val="30"/>
        </w:numPr>
        <w:spacing w:line="360" w:lineRule="auto"/>
        <w:ind w:left="812" w:hanging="332"/>
      </w:pPr>
      <w:r>
        <w:rPr>
          <w:rFonts w:hint="eastAsia"/>
        </w:rPr>
        <w:t>屏蔽U盘、移动硬盘、光盘等移动设备的自动运行功能；</w:t>
      </w:r>
    </w:p>
    <w:p>
      <w:pPr>
        <w:numPr>
          <w:ilvl w:val="0"/>
          <w:numId w:val="30"/>
        </w:numPr>
        <w:spacing w:line="360" w:lineRule="auto"/>
        <w:ind w:left="812" w:hanging="332"/>
      </w:pPr>
      <w:r>
        <w:rPr>
          <w:rFonts w:hint="eastAsia"/>
        </w:rPr>
        <w:t>对终端设备增加外壳，防止非授权用户对设备进行拆解（可选）。</w:t>
      </w:r>
    </w:p>
    <w:bookmarkEnd w:id="200"/>
    <w:p>
      <w:pPr>
        <w:pStyle w:val="3"/>
        <w:numPr>
          <w:ilvl w:val="0"/>
          <w:numId w:val="0"/>
        </w:numPr>
        <w:ind w:left="180"/>
        <w:rPr>
          <w:rFonts w:ascii="宋体" w:hAnsi="宋体" w:eastAsia="宋体"/>
        </w:rPr>
      </w:pPr>
      <w:bookmarkStart w:id="226" w:name="_Toc457880690"/>
      <w:bookmarkStart w:id="227" w:name="_Toc21642"/>
      <w:r>
        <w:rPr>
          <w:rFonts w:hint="eastAsia" w:ascii="宋体" w:hAnsi="宋体" w:eastAsia="宋体"/>
        </w:rPr>
        <w:t>主要硬件设备技术要求</w:t>
      </w:r>
      <w:bookmarkEnd w:id="226"/>
      <w:bookmarkEnd w:id="227"/>
    </w:p>
    <w:p>
      <w:pPr>
        <w:pStyle w:val="4"/>
        <w:numPr>
          <w:ilvl w:val="0"/>
          <w:numId w:val="0"/>
        </w:numPr>
      </w:pPr>
      <w:bookmarkStart w:id="228" w:name="_Toc457880691"/>
      <w:bookmarkStart w:id="229" w:name="_Toc8187"/>
      <w:r>
        <w:t>X</w:t>
      </w:r>
      <w:r>
        <w:rPr>
          <w:rFonts w:hint="eastAsia"/>
        </w:rPr>
        <w:t>光机</w:t>
      </w:r>
      <w:r>
        <w:rPr>
          <w:rFonts w:hint="eastAsia"/>
          <w:bCs w:val="0"/>
        </w:rPr>
        <w:t>技术参数</w:t>
      </w:r>
      <w:bookmarkEnd w:id="228"/>
      <w:bookmarkEnd w:id="229"/>
    </w:p>
    <w:tbl>
      <w:tblPr>
        <w:tblStyle w:val="12"/>
        <w:tblW w:w="8522" w:type="dxa"/>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3135"/>
        <w:gridCol w:w="5387"/>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8522" w:type="dxa"/>
            <w:gridSpan w:val="2"/>
            <w:tcBorders>
              <w:top w:val="single" w:color="auto" w:sz="4" w:space="0"/>
              <w:left w:val="single" w:color="auto" w:sz="4" w:space="0"/>
              <w:bottom w:val="single" w:color="auto" w:sz="4" w:space="0"/>
              <w:right w:val="single" w:color="auto" w:sz="4" w:space="0"/>
            </w:tcBorders>
            <w:vAlign w:val="center"/>
          </w:tcPr>
          <w:p>
            <w:pPr>
              <w:autoSpaceDN w:val="0"/>
              <w:jc w:val="center"/>
            </w:pPr>
            <w:r>
              <w:t>X</w:t>
            </w:r>
            <w:r>
              <w:rPr>
                <w:rFonts w:hint="eastAsia"/>
              </w:rPr>
              <w:t>光机</w:t>
            </w:r>
            <w:r>
              <w:rPr>
                <w:rFonts w:hint="eastAsia"/>
                <w:bCs/>
              </w:rPr>
              <w:t>技术参数</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rPr>
              <w:t>通道尺寸（mm）</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t xml:space="preserve">1010 </w:t>
            </w:r>
            <w:r>
              <w:rPr>
                <w:rFonts w:hint="eastAsia"/>
              </w:rPr>
              <w:t>毫米</w:t>
            </w:r>
            <w:r>
              <w:t xml:space="preserve"> (</w:t>
            </w:r>
            <w:r>
              <w:rPr>
                <w:rFonts w:hint="eastAsia"/>
              </w:rPr>
              <w:t>宽</w:t>
            </w:r>
            <w:r>
              <w:t>)</w:t>
            </w:r>
            <w:r>
              <w:rPr>
                <w:rFonts w:hint="eastAsia"/>
              </w:rPr>
              <w:t>×</w:t>
            </w:r>
            <w:r>
              <w:t xml:space="preserve">1005 </w:t>
            </w:r>
            <w:r>
              <w:rPr>
                <w:rFonts w:hint="eastAsia"/>
              </w:rPr>
              <w:t>毫米</w:t>
            </w:r>
            <w:r>
              <w:t xml:space="preserve"> (</w:t>
            </w:r>
            <w:r>
              <w:rPr>
                <w:rFonts w:hint="eastAsia"/>
              </w:rPr>
              <w:t>高</w:t>
            </w:r>
            <w: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rPr>
              <w:t>传送速度</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t>0.2</w:t>
            </w:r>
            <w:r>
              <w:rPr>
                <w:rFonts w:hint="eastAsia"/>
              </w:rPr>
              <w:t>米</w:t>
            </w:r>
            <w:r>
              <w:t>/</w:t>
            </w:r>
            <w:r>
              <w:rPr>
                <w:rFonts w:hint="eastAsia"/>
              </w:rPr>
              <w:t>秒</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宋体"/>
                <w:kern w:val="0"/>
              </w:rPr>
              <w:t>传</w:t>
            </w:r>
            <w:r>
              <w:rPr>
                <w:rFonts w:hint="eastAsia" w:cs="MS Mincho"/>
                <w:kern w:val="0"/>
              </w:rPr>
              <w:t>送</w:t>
            </w:r>
            <w:r>
              <w:rPr>
                <w:rFonts w:hint="eastAsia" w:cs="宋体"/>
                <w:kern w:val="0"/>
              </w:rPr>
              <w:t>带</w:t>
            </w:r>
            <w:r>
              <w:rPr>
                <w:rFonts w:hint="eastAsia" w:cs="MS Mincho"/>
                <w:kern w:val="0"/>
              </w:rPr>
              <w:t>高度</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kern w:val="0"/>
              </w:rPr>
              <w:t xml:space="preserve">300 </w:t>
            </w:r>
            <w:r>
              <w:rPr>
                <w:rFonts w:hint="eastAsia" w:cs="ﾋﾎﾌ・WinCharSetFFFF-H"/>
                <w:kern w:val="0"/>
              </w:rPr>
              <w:t>毫米</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rPr>
              <w:t>最大负荷</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kern w:val="0"/>
              </w:rPr>
              <w:t xml:space="preserve">200 </w:t>
            </w:r>
            <w:r>
              <w:rPr>
                <w:rFonts w:hint="eastAsia" w:cs="ﾋﾎﾌ・WinCharSetFFFF-H"/>
                <w:kern w:val="0"/>
              </w:rPr>
              <w:t>千克（均匀分布）</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8522" w:type="dxa"/>
            <w:gridSpan w:val="2"/>
            <w:tcBorders>
              <w:top w:val="single" w:color="auto" w:sz="4" w:space="0"/>
              <w:left w:val="single" w:color="auto" w:sz="4" w:space="0"/>
              <w:bottom w:val="single" w:color="auto" w:sz="4" w:space="0"/>
              <w:right w:val="single" w:color="auto" w:sz="4" w:space="0"/>
            </w:tcBorders>
            <w:vAlign w:val="center"/>
          </w:tcPr>
          <w:p>
            <w:pPr>
              <w:autoSpaceDN w:val="0"/>
            </w:pPr>
            <w:r>
              <w:rPr>
                <w:rFonts w:hint="eastAsia" w:cs="ﾋﾎﾌ・WinCharSetFFFF-H"/>
                <w:kern w:val="0"/>
              </w:rPr>
              <w:t>主要性能指</w:t>
            </w:r>
            <w:r>
              <w:rPr>
                <w:rFonts w:hint="eastAsia" w:cs="宋体"/>
                <w:kern w:val="0"/>
              </w:rPr>
              <w:t>标</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宋体"/>
                <w:kern w:val="0"/>
              </w:rPr>
              <w:t>丝</w:t>
            </w:r>
            <w:r>
              <w:rPr>
                <w:rFonts w:hint="eastAsia" w:cs="MS Mincho"/>
                <w:kern w:val="0"/>
              </w:rPr>
              <w:t>分辨力</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kern w:val="0"/>
              </w:rPr>
              <w:t>40AWG</w:t>
            </w:r>
            <w:r>
              <w:rPr>
                <w:rFonts w:hint="eastAsia" w:cs="ﾋﾎﾌ・WinCharSetFFFF-H"/>
                <w:kern w:val="0"/>
              </w:rPr>
              <w:t>（</w:t>
            </w:r>
            <w:r>
              <w:rPr>
                <w:kern w:val="0"/>
              </w:rPr>
              <w:t xml:space="preserve">0.078 </w:t>
            </w:r>
            <w:r>
              <w:rPr>
                <w:rFonts w:hint="eastAsia" w:cs="ﾋﾎﾌ・WinCharSetFFFF-H"/>
                <w:kern w:val="0"/>
              </w:rPr>
              <w:t>毫米金属</w:t>
            </w:r>
            <w:r>
              <w:rPr>
                <w:rFonts w:hint="eastAsia" w:cs="宋体"/>
                <w:kern w:val="0"/>
              </w:rPr>
              <w:t>丝</w:t>
            </w:r>
            <w:r>
              <w:rPr>
                <w:rFonts w:hint="eastAsia" w:cs="ﾋﾎﾌ・WinCharSetFFFF-H"/>
                <w:kern w:val="0"/>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ﾋﾎﾌ・WinCharSetFFFF-H"/>
                <w:kern w:val="0"/>
              </w:rPr>
              <w:t>穿透分辨率</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kern w:val="0"/>
              </w:rPr>
              <w:t>38AWG</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ﾋﾎﾌ・WinCharSetFFFF-H"/>
                <w:kern w:val="0"/>
              </w:rPr>
              <w:t>典型穿透力</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kern w:val="0"/>
              </w:rPr>
              <w:t>40mm</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jc w:val="left"/>
              <w:rPr>
                <w:kern w:val="0"/>
              </w:rPr>
            </w:pPr>
            <w:r>
              <w:rPr>
                <w:rFonts w:hint="eastAsia" w:cs="ﾋﾎﾌ・WinCharSetFFFF-H"/>
                <w:kern w:val="0"/>
              </w:rPr>
              <w:t>空</w:t>
            </w:r>
            <w:r>
              <w:rPr>
                <w:rFonts w:hint="eastAsia" w:cs="宋体"/>
                <w:kern w:val="0"/>
              </w:rPr>
              <w:t>间</w:t>
            </w:r>
            <w:r>
              <w:rPr>
                <w:rFonts w:hint="eastAsia" w:cs="MS Mincho"/>
                <w:kern w:val="0"/>
              </w:rPr>
              <w:t>穿透力</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kern w:val="0"/>
              </w:rPr>
              <w:t>1.0mm</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ﾋﾎﾌ・WinCharSetFFFF-H"/>
                <w:kern w:val="0"/>
              </w:rPr>
              <w:t>穿透力（</w:t>
            </w:r>
            <w:r>
              <w:rPr>
                <w:rFonts w:hint="eastAsia" w:cs="宋体"/>
                <w:kern w:val="0"/>
              </w:rPr>
              <w:t>钢</w:t>
            </w:r>
            <w:r>
              <w:rPr>
                <w:rFonts w:hint="eastAsia" w:cs="MS Mincho"/>
                <w:kern w:val="0"/>
              </w:rPr>
              <w:t>厚）</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kern w:val="0"/>
              </w:rPr>
              <w:t xml:space="preserve">40 </w:t>
            </w:r>
            <w:r>
              <w:rPr>
                <w:rFonts w:hint="eastAsia" w:cs="ﾋﾎﾌ・WinCharSetFFFF-H"/>
                <w:kern w:val="0"/>
              </w:rPr>
              <w:t>毫米</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ﾋﾎﾌ・WinCharSetFFFF-H"/>
                <w:kern w:val="0"/>
              </w:rPr>
              <w:t>存</w:t>
            </w:r>
            <w:r>
              <w:rPr>
                <w:rFonts w:hint="eastAsia" w:cs="宋体"/>
                <w:kern w:val="0"/>
              </w:rPr>
              <w:t>储</w:t>
            </w:r>
            <w:r>
              <w:rPr>
                <w:rFonts w:hint="eastAsia" w:cs="MS Mincho"/>
                <w:kern w:val="0"/>
              </w:rPr>
              <w:t>灰度</w:t>
            </w:r>
            <w:r>
              <w:rPr>
                <w:rFonts w:hint="eastAsia" w:cs="宋体"/>
                <w:kern w:val="0"/>
              </w:rPr>
              <w:t>级</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kern w:val="0"/>
              </w:rPr>
              <w:t xml:space="preserve">32 </w:t>
            </w:r>
            <w:r>
              <w:rPr>
                <w:rFonts w:hint="eastAsia" w:cs="ﾋﾎﾌ・WinCharSetFFFF-H"/>
                <w:kern w:val="0"/>
              </w:rPr>
              <w:t>位</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宋体"/>
                <w:kern w:val="0"/>
              </w:rPr>
              <w:t>显</w:t>
            </w:r>
            <w:r>
              <w:rPr>
                <w:rFonts w:hint="eastAsia" w:cs="MS Mincho"/>
                <w:kern w:val="0"/>
              </w:rPr>
              <w:t>示器</w:t>
            </w:r>
            <w:r>
              <w:rPr>
                <w:rFonts w:cs="ﾋﾎﾌ・WinCharSetFFFF-H"/>
                <w:kern w:val="0"/>
              </w:rPr>
              <w:t xml:space="preserve"> </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kern w:val="0"/>
              </w:rPr>
              <w:t xml:space="preserve">17 </w:t>
            </w:r>
            <w:r>
              <w:rPr>
                <w:rFonts w:hint="eastAsia" w:cs="ﾋﾎﾌ・WinCharSetFFFF-H"/>
                <w:kern w:val="0"/>
              </w:rPr>
              <w:t>吋彩色</w:t>
            </w:r>
            <w:r>
              <w:rPr>
                <w:rFonts w:hint="eastAsia" w:cs="宋体"/>
                <w:kern w:val="0"/>
              </w:rPr>
              <w:t>显</w:t>
            </w:r>
            <w:r>
              <w:rPr>
                <w:rFonts w:hint="eastAsia" w:cs="MS Mincho"/>
                <w:kern w:val="0"/>
              </w:rPr>
              <w:t>示器，分辨率达</w:t>
            </w:r>
            <w:r>
              <w:rPr>
                <w:kern w:val="0"/>
              </w:rPr>
              <w:t>1280</w:t>
            </w:r>
            <w:r>
              <w:rPr>
                <w:rFonts w:hint="eastAsia" w:cs="ﾋﾎﾌ・WinCharSetFFFF-H"/>
                <w:kern w:val="0"/>
              </w:rPr>
              <w:t>×</w:t>
            </w:r>
            <w:r>
              <w:rPr>
                <w:kern w:val="0"/>
              </w:rPr>
              <w:t>1024</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8522" w:type="dxa"/>
            <w:gridSpan w:val="2"/>
            <w:tcBorders>
              <w:top w:val="single" w:color="auto" w:sz="4" w:space="0"/>
              <w:left w:val="single" w:color="auto" w:sz="4" w:space="0"/>
              <w:bottom w:val="single" w:color="auto" w:sz="4" w:space="0"/>
              <w:right w:val="single" w:color="auto" w:sz="4" w:space="0"/>
            </w:tcBorders>
            <w:vAlign w:val="center"/>
          </w:tcPr>
          <w:p>
            <w:pPr>
              <w:autoSpaceDN w:val="0"/>
            </w:pPr>
            <w:r>
              <w:rPr>
                <w:rFonts w:hint="eastAsia" w:cs="宋体"/>
                <w:kern w:val="0"/>
              </w:rPr>
              <w:t>图</w:t>
            </w:r>
            <w:r>
              <w:rPr>
                <w:rFonts w:hint="eastAsia" w:cs="MS Mincho"/>
                <w:kern w:val="0"/>
              </w:rPr>
              <w:t>像</w:t>
            </w:r>
            <w:r>
              <w:rPr>
                <w:rFonts w:hint="eastAsia" w:cs="宋体"/>
                <w:kern w:val="0"/>
              </w:rPr>
              <w:t>处</w:t>
            </w:r>
            <w:r>
              <w:rPr>
                <w:rFonts w:hint="eastAsia" w:cs="MS Mincho"/>
                <w:kern w:val="0"/>
              </w:rPr>
              <w:t>理功能</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宋体"/>
                <w:kern w:val="0"/>
              </w:rPr>
              <w:t>图</w:t>
            </w:r>
            <w:r>
              <w:rPr>
                <w:rFonts w:hint="eastAsia" w:cs="MS Mincho"/>
                <w:kern w:val="0"/>
              </w:rPr>
              <w:t>像</w:t>
            </w:r>
            <w:r>
              <w:rPr>
                <w:rFonts w:hint="eastAsia" w:cs="宋体"/>
                <w:kern w:val="0"/>
              </w:rPr>
              <w:t>处</w:t>
            </w:r>
            <w:r>
              <w:rPr>
                <w:rFonts w:hint="eastAsia" w:cs="MS Mincho"/>
                <w:kern w:val="0"/>
              </w:rPr>
              <w:t>理</w:t>
            </w:r>
          </w:p>
        </w:tc>
        <w:tc>
          <w:tcPr>
            <w:tcW w:w="5387"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jc w:val="left"/>
            </w:pPr>
            <w:r>
              <w:rPr>
                <w:rFonts w:hint="eastAsia" w:cs="ﾋﾎﾌ・WinCharSetFFFF-H"/>
                <w:kern w:val="0"/>
              </w:rPr>
              <w:t>具有扇形成像，能</w:t>
            </w:r>
            <w:r>
              <w:rPr>
                <w:rFonts w:hint="eastAsia" w:cs="宋体"/>
                <w:kern w:val="0"/>
              </w:rPr>
              <w:t>对</w:t>
            </w:r>
            <w:r>
              <w:rPr>
                <w:rFonts w:hint="eastAsia" w:cs="MS Mincho"/>
                <w:kern w:val="0"/>
              </w:rPr>
              <w:t>无</w:t>
            </w:r>
            <w:r>
              <w:rPr>
                <w:rFonts w:hint="eastAsia" w:cs="宋体"/>
                <w:kern w:val="0"/>
              </w:rPr>
              <w:t>论</w:t>
            </w:r>
            <w:r>
              <w:rPr>
                <w:rFonts w:hint="eastAsia" w:cs="MS Mincho"/>
                <w:kern w:val="0"/>
              </w:rPr>
              <w:t>如何</w:t>
            </w:r>
            <w:r>
              <w:rPr>
                <w:rFonts w:hint="eastAsia" w:cs="宋体"/>
                <w:kern w:val="0"/>
              </w:rPr>
              <w:t>摆</w:t>
            </w:r>
            <w:r>
              <w:rPr>
                <w:rFonts w:hint="eastAsia" w:cs="MS Mincho"/>
                <w:kern w:val="0"/>
              </w:rPr>
              <w:t>放行李都能全部透</w:t>
            </w:r>
            <w:r>
              <w:rPr>
                <w:rFonts w:hint="eastAsia" w:cs="宋体"/>
                <w:kern w:val="0"/>
              </w:rPr>
              <w:t>视</w:t>
            </w:r>
            <w:r>
              <w:rPr>
                <w:rFonts w:hint="eastAsia" w:cs="MS Mincho"/>
                <w:kern w:val="0"/>
              </w:rPr>
              <w:t>，无盲点、</w:t>
            </w:r>
            <w:r>
              <w:rPr>
                <w:rFonts w:hint="eastAsia" w:cs="ﾋﾎﾌ・WinCharSetFFFF-H"/>
                <w:kern w:val="0"/>
              </w:rPr>
              <w:t>无死角；具有黑白、反色、亮暗增</w:t>
            </w:r>
            <w:r>
              <w:rPr>
                <w:rFonts w:hint="eastAsia" w:cs="宋体"/>
                <w:kern w:val="0"/>
              </w:rPr>
              <w:t>强</w:t>
            </w:r>
            <w:r>
              <w:rPr>
                <w:rFonts w:hint="eastAsia" w:cs="MS Mincho"/>
                <w:kern w:val="0"/>
              </w:rPr>
              <w:t>、高能穿透、低能穿透、</w:t>
            </w:r>
            <w:r>
              <w:rPr>
                <w:rFonts w:hint="eastAsia" w:cs="ﾋﾎﾌ・WinCharSetFFFF-H"/>
                <w:kern w:val="0"/>
              </w:rPr>
              <w:t>有机物剔除、无机物剔除、超</w:t>
            </w:r>
            <w:r>
              <w:rPr>
                <w:rFonts w:hint="eastAsia" w:cs="宋体"/>
                <w:kern w:val="0"/>
              </w:rPr>
              <w:t>级</w:t>
            </w:r>
            <w:r>
              <w:rPr>
                <w:rFonts w:hint="eastAsia" w:cs="MS Mincho"/>
                <w:kern w:val="0"/>
              </w:rPr>
              <w:t>增</w:t>
            </w:r>
            <w:r>
              <w:rPr>
                <w:rFonts w:hint="eastAsia" w:cs="宋体"/>
                <w:kern w:val="0"/>
              </w:rPr>
              <w:t>强</w:t>
            </w:r>
            <w:r>
              <w:rPr>
                <w:rFonts w:hint="eastAsia" w:cs="MS Mincho"/>
                <w:kern w:val="0"/>
              </w:rPr>
              <w:t>、可</w:t>
            </w:r>
            <w:r>
              <w:rPr>
                <w:rFonts w:hint="eastAsia" w:cs="宋体"/>
                <w:kern w:val="0"/>
              </w:rPr>
              <w:t>变</w:t>
            </w:r>
            <w:r>
              <w:rPr>
                <w:rFonts w:hint="eastAsia" w:cs="MS Mincho"/>
                <w:kern w:val="0"/>
              </w:rPr>
              <w:t>吸收率、</w:t>
            </w:r>
            <w:r>
              <w:rPr>
                <w:rFonts w:hint="eastAsia" w:cs="宋体"/>
                <w:kern w:val="0"/>
              </w:rPr>
              <w:t>伪</w:t>
            </w:r>
            <w:r>
              <w:rPr>
                <w:rFonts w:hint="eastAsia" w:cs="MS Mincho"/>
                <w:kern w:val="0"/>
              </w:rPr>
              <w:t>彩色等，</w:t>
            </w:r>
            <w:r>
              <w:rPr>
                <w:rFonts w:hint="eastAsia" w:cs="ﾋﾎﾌ・WinCharSetFFFF-H"/>
                <w:kern w:val="0"/>
              </w:rPr>
              <w:t>具有</w:t>
            </w:r>
            <w:r>
              <w:rPr>
                <w:kern w:val="0"/>
              </w:rPr>
              <w:t xml:space="preserve">24Bit </w:t>
            </w:r>
            <w:r>
              <w:rPr>
                <w:rFonts w:hint="eastAsia" w:cs="ﾋﾎﾌ・WinCharSetFFFF-H"/>
                <w:kern w:val="0"/>
              </w:rPr>
              <w:t>以上</w:t>
            </w:r>
            <w:r>
              <w:rPr>
                <w:rFonts w:hint="eastAsia" w:cs="宋体"/>
                <w:kern w:val="0"/>
              </w:rPr>
              <w:t>实时处</w:t>
            </w:r>
            <w:r>
              <w:rPr>
                <w:rFonts w:hint="eastAsia" w:cs="MS Mincho"/>
                <w:kern w:val="0"/>
              </w:rPr>
              <w:t>理能力；</w:t>
            </w:r>
            <w:r>
              <w:rPr>
                <w:rFonts w:hint="eastAsia" w:cs="宋体"/>
                <w:kern w:val="0"/>
              </w:rPr>
              <w:t>边缘</w:t>
            </w:r>
            <w:r>
              <w:rPr>
                <w:rFonts w:hint="eastAsia" w:cs="MS Mincho"/>
                <w:kern w:val="0"/>
              </w:rPr>
              <w:t>增</w:t>
            </w:r>
            <w:r>
              <w:rPr>
                <w:rFonts w:hint="eastAsia" w:cs="宋体"/>
                <w:kern w:val="0"/>
              </w:rPr>
              <w:t>强</w:t>
            </w:r>
            <w:r>
              <w:rPr>
                <w:rFonts w:hint="eastAsia" w:cs="MS Mincho"/>
                <w:kern w:val="0"/>
              </w:rPr>
              <w:t>、色</w:t>
            </w:r>
            <w:r>
              <w:rPr>
                <w:rFonts w:hint="eastAsia" w:cs="宋体"/>
                <w:kern w:val="0"/>
              </w:rPr>
              <w:t>饱</w:t>
            </w:r>
            <w:r>
              <w:rPr>
                <w:rFonts w:hint="eastAsia" w:cs="MS Mincho"/>
                <w:kern w:val="0"/>
              </w:rPr>
              <w:t>和度</w:t>
            </w:r>
            <w:r>
              <w:rPr>
                <w:rFonts w:hint="eastAsia" w:cs="宋体"/>
                <w:kern w:val="0"/>
              </w:rPr>
              <w:t>扫</w:t>
            </w:r>
            <w:r>
              <w:rPr>
                <w:rFonts w:hint="eastAsia" w:cs="MS Mincho"/>
                <w:kern w:val="0"/>
              </w:rPr>
              <w:t>描、灰度</w:t>
            </w:r>
            <w:r>
              <w:rPr>
                <w:rFonts w:hint="eastAsia" w:cs="宋体"/>
                <w:kern w:val="0"/>
              </w:rPr>
              <w:t>扫</w:t>
            </w:r>
            <w:r>
              <w:rPr>
                <w:rFonts w:hint="eastAsia" w:cs="MS Mincho"/>
                <w:kern w:val="0"/>
              </w:rPr>
              <w:t>描</w:t>
            </w:r>
            <w:r>
              <w:rPr>
                <w:rFonts w:hint="eastAsia" w:cs="ﾋﾎﾌ・WinCharSetFFFF-H"/>
                <w:kern w:val="0"/>
              </w:rPr>
              <w:t>、超</w:t>
            </w:r>
            <w:r>
              <w:rPr>
                <w:rFonts w:hint="eastAsia" w:cs="宋体"/>
                <w:kern w:val="0"/>
              </w:rPr>
              <w:t>级扫</w:t>
            </w:r>
            <w:r>
              <w:rPr>
                <w:rFonts w:hint="eastAsia" w:cs="MS Mincho"/>
                <w:kern w:val="0"/>
              </w:rPr>
              <w:t>描、有机物剔除、无机物剔</w:t>
            </w:r>
            <w:r>
              <w:rPr>
                <w:rFonts w:hint="eastAsia" w:cs="ﾋﾎﾌ・WinCharSetFFFF-H"/>
                <w:kern w:val="0"/>
              </w:rPr>
              <w:t>除</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ﾋﾎﾌ・WinCharSetFFFF-H"/>
                <w:kern w:val="0"/>
              </w:rPr>
              <w:t>物</w:t>
            </w:r>
            <w:r>
              <w:rPr>
                <w:rFonts w:hint="eastAsia" w:cs="宋体"/>
                <w:kern w:val="0"/>
              </w:rPr>
              <w:t>质</w:t>
            </w:r>
            <w:r>
              <w:rPr>
                <w:rFonts w:hint="eastAsia" w:cs="MS Mincho"/>
                <w:kern w:val="0"/>
              </w:rPr>
              <w:t>分辨</w:t>
            </w:r>
          </w:p>
        </w:tc>
        <w:tc>
          <w:tcPr>
            <w:tcW w:w="5387"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jc w:val="left"/>
            </w:pPr>
            <w:r>
              <w:rPr>
                <w:rFonts w:hint="eastAsia" w:cs="ﾋﾎﾌ・WinCharSetFFFF-H"/>
                <w:kern w:val="0"/>
              </w:rPr>
              <w:t>具有薄有机物、有机物、无机物、灰度</w:t>
            </w:r>
            <w:r>
              <w:rPr>
                <w:kern w:val="0"/>
              </w:rPr>
              <w:t>/</w:t>
            </w:r>
            <w:r>
              <w:rPr>
                <w:rFonts w:hint="eastAsia" w:cs="ﾋﾎﾌ・WinCharSetFFFF-H"/>
                <w:kern w:val="0"/>
              </w:rPr>
              <w:t>混合物、材料、有效材料等分辨功能；有机物：橙色；无机物：</w:t>
            </w:r>
            <w:r>
              <w:rPr>
                <w:rFonts w:hint="eastAsia" w:cs="宋体"/>
                <w:kern w:val="0"/>
              </w:rPr>
              <w:t>蓝</w:t>
            </w:r>
            <w:r>
              <w:rPr>
                <w:rFonts w:hint="eastAsia" w:cs="MS Mincho"/>
                <w:kern w:val="0"/>
              </w:rPr>
              <w:t>色；混合物和</w:t>
            </w:r>
            <w:r>
              <w:rPr>
                <w:rFonts w:hint="eastAsia" w:cs="宋体"/>
                <w:kern w:val="0"/>
              </w:rPr>
              <w:t>轻</w:t>
            </w:r>
            <w:r>
              <w:rPr>
                <w:rFonts w:hint="eastAsia" w:cs="MS Mincho"/>
                <w:kern w:val="0"/>
              </w:rPr>
              <w:t>金</w:t>
            </w:r>
            <w:r>
              <w:rPr>
                <w:rFonts w:hint="eastAsia" w:cs="ﾋﾎﾌ・WinCharSetFFFF-H"/>
                <w:kern w:val="0"/>
              </w:rPr>
              <w:t>属：</w:t>
            </w:r>
            <w:r>
              <w:rPr>
                <w:rFonts w:hint="eastAsia" w:cs="宋体"/>
                <w:kern w:val="0"/>
              </w:rPr>
              <w:t>绿</w:t>
            </w:r>
            <w:r>
              <w:rPr>
                <w:rFonts w:hint="eastAsia" w:cs="ﾋﾎﾌ・WinCharSetFFFF-H"/>
                <w:kern w:val="0"/>
              </w:rPr>
              <w:t>色</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宋体"/>
                <w:kern w:val="0"/>
              </w:rPr>
              <w:t>选</w:t>
            </w:r>
            <w:r>
              <w:rPr>
                <w:rFonts w:hint="eastAsia" w:cs="MS Mincho"/>
                <w:kern w:val="0"/>
              </w:rPr>
              <w:t>区与放大</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ﾋﾎﾌ・WinCharSetFFFF-H"/>
                <w:kern w:val="0"/>
              </w:rPr>
              <w:t>任意</w:t>
            </w:r>
            <w:r>
              <w:rPr>
                <w:rFonts w:hint="eastAsia" w:cs="宋体"/>
                <w:kern w:val="0"/>
              </w:rPr>
              <w:t>选</w:t>
            </w:r>
            <w:r>
              <w:rPr>
                <w:rFonts w:hint="eastAsia" w:cs="MS Mincho"/>
                <w:kern w:val="0"/>
              </w:rPr>
              <w:t>区，</w:t>
            </w:r>
            <w:r>
              <w:rPr>
                <w:b/>
                <w:bCs/>
                <w:kern w:val="0"/>
              </w:rPr>
              <w:t>1</w:t>
            </w:r>
            <w:r>
              <w:rPr>
                <w:rFonts w:hint="eastAsia" w:cs="ﾋﾎﾌ・WinCharSetFFFF-H"/>
                <w:kern w:val="0"/>
              </w:rPr>
              <w:t>～</w:t>
            </w:r>
            <w:r>
              <w:rPr>
                <w:b/>
                <w:bCs/>
                <w:kern w:val="0"/>
              </w:rPr>
              <w:t>64</w:t>
            </w:r>
            <w:r>
              <w:rPr>
                <w:rFonts w:hint="eastAsia" w:cs="ﾋﾎﾌ・WinCharSetFFFF-H"/>
                <w:kern w:val="0"/>
              </w:rPr>
              <w:t>倍放大，支持</w:t>
            </w:r>
            <w:r>
              <w:rPr>
                <w:rFonts w:hint="eastAsia" w:cs="宋体"/>
                <w:kern w:val="0"/>
              </w:rPr>
              <w:t>连续</w:t>
            </w:r>
            <w:r>
              <w:rPr>
                <w:rFonts w:hint="eastAsia" w:cs="MS Mincho"/>
                <w:kern w:val="0"/>
              </w:rPr>
              <w:t>放</w:t>
            </w:r>
            <w:r>
              <w:rPr>
                <w:rFonts w:hint="eastAsia" w:cs="ﾋﾎﾌ・WinCharSetFFFF-H"/>
                <w:kern w:val="0"/>
              </w:rPr>
              <w:t>大</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宋体"/>
                <w:kern w:val="0"/>
              </w:rPr>
              <w:t>图</w:t>
            </w:r>
            <w:r>
              <w:rPr>
                <w:rFonts w:hint="eastAsia" w:cs="MS Mincho"/>
                <w:kern w:val="0"/>
              </w:rPr>
              <w:t>像回拉</w:t>
            </w:r>
          </w:p>
        </w:tc>
        <w:tc>
          <w:tcPr>
            <w:tcW w:w="5387"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jc w:val="left"/>
            </w:pPr>
            <w:r>
              <w:rPr>
                <w:rFonts w:hint="eastAsia" w:cs="宋体"/>
                <w:kern w:val="0"/>
              </w:rPr>
              <w:t>图</w:t>
            </w:r>
            <w:r>
              <w:rPr>
                <w:rFonts w:hint="eastAsia" w:cs="MS Mincho"/>
                <w:kern w:val="0"/>
              </w:rPr>
              <w:t>像反</w:t>
            </w:r>
            <w:r>
              <w:rPr>
                <w:rFonts w:hint="eastAsia" w:cs="宋体"/>
                <w:kern w:val="0"/>
              </w:rPr>
              <w:t>转</w:t>
            </w:r>
            <w:r>
              <w:rPr>
                <w:rFonts w:hint="eastAsia" w:cs="MS Mincho"/>
                <w:kern w:val="0"/>
              </w:rPr>
              <w:t>、放大、并可</w:t>
            </w:r>
            <w:r>
              <w:rPr>
                <w:rFonts w:hint="eastAsia" w:cs="宋体"/>
                <w:kern w:val="0"/>
              </w:rPr>
              <w:t>对</w:t>
            </w:r>
            <w:r>
              <w:rPr>
                <w:rFonts w:hint="eastAsia" w:cs="MS Mincho"/>
                <w:kern w:val="0"/>
              </w:rPr>
              <w:t>已</w:t>
            </w:r>
            <w:r>
              <w:rPr>
                <w:rFonts w:hint="eastAsia" w:cs="宋体"/>
                <w:kern w:val="0"/>
              </w:rPr>
              <w:t>经</w:t>
            </w:r>
            <w:r>
              <w:rPr>
                <w:rFonts w:hint="eastAsia" w:cs="MS Mincho"/>
                <w:kern w:val="0"/>
              </w:rPr>
              <w:t>存</w:t>
            </w:r>
            <w:r>
              <w:rPr>
                <w:rFonts w:hint="eastAsia" w:cs="宋体"/>
                <w:kern w:val="0"/>
              </w:rPr>
              <w:t>储</w:t>
            </w:r>
            <w:r>
              <w:rPr>
                <w:rFonts w:hint="eastAsia" w:cs="MS Mincho"/>
                <w:kern w:val="0"/>
              </w:rPr>
              <w:t>的所有副数</w:t>
            </w:r>
            <w:r>
              <w:rPr>
                <w:rFonts w:hint="eastAsia" w:cs="宋体"/>
                <w:kern w:val="0"/>
              </w:rPr>
              <w:t>图</w:t>
            </w:r>
            <w:r>
              <w:rPr>
                <w:rFonts w:hint="eastAsia" w:cs="MS Mincho"/>
                <w:kern w:val="0"/>
              </w:rPr>
              <w:t>像前后无限回</w:t>
            </w:r>
            <w:r>
              <w:rPr>
                <w:rFonts w:hint="eastAsia" w:cs="ﾋﾎﾌ・WinCharSetFFFF-H"/>
                <w:kern w:val="0"/>
              </w:rPr>
              <w:t>放</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宋体"/>
                <w:kern w:val="0"/>
              </w:rPr>
              <w:t>图</w:t>
            </w:r>
            <w:r>
              <w:rPr>
                <w:rFonts w:hint="eastAsia" w:cs="MS Mincho"/>
                <w:kern w:val="0"/>
              </w:rPr>
              <w:t>像存</w:t>
            </w:r>
            <w:r>
              <w:rPr>
                <w:rFonts w:hint="eastAsia" w:cs="宋体"/>
                <w:kern w:val="0"/>
              </w:rPr>
              <w:t>储</w:t>
            </w:r>
            <w:r>
              <w:rPr>
                <w:rFonts w:hint="eastAsia" w:cs="MS Mincho"/>
                <w:kern w:val="0"/>
              </w:rPr>
              <w:t>能力</w:t>
            </w:r>
          </w:p>
        </w:tc>
        <w:tc>
          <w:tcPr>
            <w:tcW w:w="5387"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jc w:val="left"/>
              <w:rPr>
                <w:rFonts w:cs="ﾋﾎﾌ・WinCharSetFFFF-H"/>
                <w:kern w:val="0"/>
              </w:rPr>
            </w:pPr>
            <w:r>
              <w:rPr>
                <w:rFonts w:hint="eastAsia"/>
                <w:kern w:val="0"/>
              </w:rPr>
              <w:t>500G</w:t>
            </w:r>
            <w:r>
              <w:rPr>
                <w:rFonts w:hint="eastAsia" w:cs="ﾋﾎﾌ・WinCharSetFFFF-H"/>
                <w:kern w:val="0"/>
              </w:rPr>
              <w:t>以上硬</w:t>
            </w:r>
            <w:r>
              <w:rPr>
                <w:rFonts w:hint="eastAsia" w:cs="宋体"/>
                <w:kern w:val="0"/>
              </w:rPr>
              <w:t>盘</w:t>
            </w:r>
            <w:r>
              <w:rPr>
                <w:rFonts w:hint="eastAsia" w:cs="MS Mincho"/>
                <w:kern w:val="0"/>
              </w:rPr>
              <w:t>空</w:t>
            </w:r>
            <w:r>
              <w:rPr>
                <w:rFonts w:hint="eastAsia" w:cs="宋体"/>
                <w:kern w:val="0"/>
              </w:rPr>
              <w:t>间</w:t>
            </w:r>
            <w:r>
              <w:rPr>
                <w:rFonts w:hint="eastAsia" w:cs="MS Mincho"/>
                <w:kern w:val="0"/>
              </w:rPr>
              <w:t>，至少</w:t>
            </w:r>
            <w:r>
              <w:rPr>
                <w:rFonts w:hint="eastAsia"/>
                <w:b/>
                <w:bCs/>
                <w:kern w:val="0"/>
              </w:rPr>
              <w:t>2</w:t>
            </w:r>
            <w:r>
              <w:rPr>
                <w:b/>
                <w:bCs/>
                <w:kern w:val="0"/>
              </w:rPr>
              <w:t>0000</w:t>
            </w:r>
            <w:r>
              <w:rPr>
                <w:rFonts w:hint="eastAsia" w:cs="ﾋﾎﾌ・WinCharSetFFFF-H"/>
                <w:kern w:val="0"/>
              </w:rPr>
              <w:t>幅</w:t>
            </w:r>
            <w:r>
              <w:rPr>
                <w:rFonts w:hint="eastAsia" w:cs="宋体"/>
                <w:kern w:val="0"/>
              </w:rPr>
              <w:t>图</w:t>
            </w:r>
            <w:r>
              <w:rPr>
                <w:rFonts w:hint="eastAsia" w:cs="MS Mincho"/>
                <w:kern w:val="0"/>
              </w:rPr>
              <w:t>像，</w:t>
            </w:r>
            <w:r>
              <w:rPr>
                <w:rFonts w:hint="eastAsia" w:cs="宋体"/>
                <w:kern w:val="0"/>
              </w:rPr>
              <w:t>图</w:t>
            </w:r>
            <w:r>
              <w:rPr>
                <w:rFonts w:hint="eastAsia" w:cs="MS Mincho"/>
                <w:kern w:val="0"/>
              </w:rPr>
              <w:t>像格式可</w:t>
            </w:r>
            <w:r>
              <w:rPr>
                <w:rFonts w:hint="eastAsia" w:cs="宋体"/>
                <w:kern w:val="0"/>
              </w:rPr>
              <w:t>为</w:t>
            </w:r>
            <w:r>
              <w:rPr>
                <w:rFonts w:cs="ﾋﾎﾌ・WinCharSetFFFF-H"/>
                <w:kern w:val="0"/>
              </w:rPr>
              <w:t>gif</w:t>
            </w:r>
            <w:r>
              <w:rPr>
                <w:rFonts w:hint="eastAsia" w:cs="ﾋﾎﾌ・WinCharSetFFFF-H"/>
                <w:kern w:val="0"/>
              </w:rPr>
              <w:t>、</w:t>
            </w:r>
            <w:r>
              <w:rPr>
                <w:rFonts w:cs="ﾋﾎﾌ・WinCharSetFFFF-H"/>
                <w:kern w:val="0"/>
              </w:rPr>
              <w:t>jpeg</w:t>
            </w:r>
            <w:r>
              <w:rPr>
                <w:rFonts w:hint="eastAsia" w:cs="ﾋﾎﾌ・WinCharSetFFFF-H"/>
                <w:kern w:val="0"/>
              </w:rPr>
              <w:t>、</w:t>
            </w:r>
            <w:r>
              <w:rPr>
                <w:rFonts w:cs="ﾋﾎﾌ・WinCharSetFFFF-H"/>
                <w:kern w:val="0"/>
              </w:rPr>
              <w:t>bmp</w:t>
            </w:r>
            <w:r>
              <w:rPr>
                <w:rFonts w:hint="eastAsia" w:cs="ﾋﾎﾌ・WinCharSetFFFF-H"/>
                <w:kern w:val="0"/>
              </w:rPr>
              <w:t>、</w:t>
            </w:r>
            <w:r>
              <w:rPr>
                <w:rFonts w:cs="ﾋﾎﾌ・WinCharSetFFFF-H"/>
                <w:kern w:val="0"/>
              </w:rPr>
              <w:t xml:space="preserve">tiff </w:t>
            </w:r>
            <w:r>
              <w:rPr>
                <w:rFonts w:hint="eastAsia" w:cs="ﾋﾎﾌ・WinCharSetFFFF-H"/>
                <w:kern w:val="0"/>
              </w:rPr>
              <w:t>等常</w:t>
            </w:r>
            <w:r>
              <w:rPr>
                <w:rFonts w:hint="eastAsia" w:cs="宋体"/>
                <w:kern w:val="0"/>
              </w:rPr>
              <w:t>见图</w:t>
            </w:r>
            <w:r>
              <w:rPr>
                <w:rFonts w:hint="eastAsia" w:cs="MS Mincho"/>
                <w:kern w:val="0"/>
              </w:rPr>
              <w:t>像文件，</w:t>
            </w:r>
            <w:r>
              <w:rPr>
                <w:rFonts w:hint="eastAsia" w:cs="宋体"/>
                <w:kern w:val="0"/>
              </w:rPr>
              <w:t>图</w:t>
            </w:r>
            <w:r>
              <w:rPr>
                <w:rFonts w:hint="eastAsia" w:cs="MS Mincho"/>
                <w:kern w:val="0"/>
              </w:rPr>
              <w:t>像可</w:t>
            </w:r>
            <w:r>
              <w:rPr>
                <w:rFonts w:hint="eastAsia" w:cs="宋体"/>
                <w:kern w:val="0"/>
              </w:rPr>
              <w:t>导</w:t>
            </w:r>
            <w:r>
              <w:rPr>
                <w:rFonts w:hint="eastAsia" w:cs="MS Mincho"/>
                <w:kern w:val="0"/>
              </w:rPr>
              <w:t>出到</w:t>
            </w:r>
            <w:r>
              <w:rPr>
                <w:rFonts w:cs="ﾋﾎﾌ・WinCharSetFFFF-H"/>
                <w:kern w:val="0"/>
              </w:rPr>
              <w:t>USB</w:t>
            </w:r>
            <w:r>
              <w:rPr>
                <w:rFonts w:hint="eastAsia" w:cs="ﾋﾎﾌ・WinCharSetFFFF-H"/>
                <w:kern w:val="0"/>
              </w:rPr>
              <w:t>（</w:t>
            </w:r>
            <w:r>
              <w:rPr>
                <w:rFonts w:cs="ﾋﾎﾌ・WinCharSetFFFF-H"/>
                <w:kern w:val="0"/>
              </w:rPr>
              <w:t xml:space="preserve">2.0 </w:t>
            </w:r>
            <w:r>
              <w:rPr>
                <w:rFonts w:hint="eastAsia" w:cs="ﾋﾎﾌ・WinCharSetFFFF-H"/>
                <w:kern w:val="0"/>
              </w:rPr>
              <w:t>口及以上）移</w:t>
            </w:r>
            <w:r>
              <w:rPr>
                <w:rFonts w:hint="eastAsia" w:cs="宋体"/>
                <w:kern w:val="0"/>
              </w:rPr>
              <w:t>动</w:t>
            </w:r>
            <w:r>
              <w:rPr>
                <w:rFonts w:hint="eastAsia" w:cs="MS Mincho"/>
                <w:kern w:val="0"/>
              </w:rPr>
              <w:t>存</w:t>
            </w:r>
            <w:r>
              <w:rPr>
                <w:rFonts w:hint="eastAsia" w:cs="宋体"/>
                <w:kern w:val="0"/>
              </w:rPr>
              <w:t>储设备</w:t>
            </w:r>
            <w:r>
              <w:rPr>
                <w:rFonts w:hint="eastAsia" w:cs="MS Mincho"/>
                <w:kern w:val="0"/>
              </w:rPr>
              <w:t>，通</w:t>
            </w:r>
            <w:r>
              <w:rPr>
                <w:rFonts w:hint="eastAsia" w:cs="宋体"/>
                <w:kern w:val="0"/>
              </w:rPr>
              <w:t>过</w:t>
            </w:r>
            <w:r>
              <w:rPr>
                <w:rFonts w:hint="eastAsia" w:cs="MS Mincho"/>
                <w:kern w:val="0"/>
              </w:rPr>
              <w:t>操作控制台可打印屏幕上</w:t>
            </w:r>
            <w:r>
              <w:rPr>
                <w:rFonts w:hint="eastAsia" w:cs="宋体"/>
                <w:kern w:val="0"/>
              </w:rPr>
              <w:t>显</w:t>
            </w:r>
            <w:r>
              <w:rPr>
                <w:rFonts w:hint="eastAsia" w:cs="MS Mincho"/>
                <w:kern w:val="0"/>
              </w:rPr>
              <w:t>示的</w:t>
            </w:r>
            <w:r>
              <w:rPr>
                <w:rFonts w:hint="eastAsia" w:cs="宋体"/>
                <w:kern w:val="0"/>
              </w:rPr>
              <w:t>图</w:t>
            </w:r>
            <w:r>
              <w:rPr>
                <w:rFonts w:hint="eastAsia" w:cs="MS Mincho"/>
                <w:kern w:val="0"/>
              </w:rPr>
              <w:t>像，并</w:t>
            </w:r>
            <w:r>
              <w:rPr>
                <w:rFonts w:hint="eastAsia" w:cs="ﾋﾎﾌ・WinCharSetFFFF-H"/>
                <w:kern w:val="0"/>
              </w:rPr>
              <w:t>打印</w:t>
            </w:r>
            <w:r>
              <w:rPr>
                <w:rFonts w:hint="eastAsia" w:cs="宋体"/>
                <w:kern w:val="0"/>
              </w:rPr>
              <w:t>图</w:t>
            </w:r>
            <w:r>
              <w:rPr>
                <w:rFonts w:hint="eastAsia" w:cs="MS Mincho"/>
                <w:kern w:val="0"/>
              </w:rPr>
              <w:t>像</w:t>
            </w:r>
            <w:r>
              <w:rPr>
                <w:rFonts w:hint="eastAsia" w:cs="宋体"/>
                <w:kern w:val="0"/>
              </w:rPr>
              <w:t>记录报</w:t>
            </w:r>
            <w:r>
              <w:rPr>
                <w:rFonts w:hint="eastAsia" w:cs="MS Mincho"/>
                <w:kern w:val="0"/>
              </w:rPr>
              <w:t>告</w:t>
            </w:r>
          </w:p>
          <w:p>
            <w:pPr>
              <w:autoSpaceDE w:val="0"/>
              <w:autoSpaceDN w:val="0"/>
              <w:adjustRightInd w:val="0"/>
              <w:jc w:val="left"/>
            </w:pPr>
            <w:r>
              <w:rPr>
                <w:rFonts w:hint="eastAsia" w:cs="宋体"/>
                <w:kern w:val="0"/>
              </w:rPr>
              <w:t>辅</w:t>
            </w:r>
            <w:r>
              <w:rPr>
                <w:rFonts w:hint="eastAsia" w:cs="MS Mincho"/>
                <w:kern w:val="0"/>
              </w:rPr>
              <w:t>助功能</w:t>
            </w:r>
            <w:r>
              <w:rPr>
                <w:rFonts w:hint="eastAsia" w:cs="ﾋﾎﾌ・WinCharSetFFFF-H"/>
                <w:kern w:val="0"/>
              </w:rPr>
              <w:t>日期</w:t>
            </w:r>
            <w:r>
              <w:rPr>
                <w:kern w:val="0"/>
              </w:rPr>
              <w:t>/</w:t>
            </w:r>
            <w:r>
              <w:rPr>
                <w:rFonts w:hint="eastAsia" w:cs="宋体"/>
                <w:kern w:val="0"/>
              </w:rPr>
              <w:t>时间显</w:t>
            </w:r>
            <w:r>
              <w:rPr>
                <w:rFonts w:hint="eastAsia" w:cs="MS Mincho"/>
                <w:kern w:val="0"/>
              </w:rPr>
              <w:t>示，行李</w:t>
            </w:r>
            <w:r>
              <w:rPr>
                <w:rFonts w:hint="eastAsia" w:cs="宋体"/>
                <w:kern w:val="0"/>
              </w:rPr>
              <w:t>计</w:t>
            </w:r>
            <w:r>
              <w:rPr>
                <w:rFonts w:hint="eastAsia" w:cs="ﾋﾎﾌ・WinCharSetFFFF-H"/>
                <w:kern w:val="0"/>
              </w:rPr>
              <w:t>数</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宋体"/>
                <w:kern w:val="0"/>
              </w:rPr>
              <w:t>辅</w:t>
            </w:r>
            <w:r>
              <w:rPr>
                <w:rFonts w:hint="eastAsia" w:cs="MS Mincho"/>
                <w:kern w:val="0"/>
              </w:rPr>
              <w:t>助功能</w:t>
            </w:r>
          </w:p>
        </w:tc>
        <w:tc>
          <w:tcPr>
            <w:tcW w:w="5387"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jc w:val="left"/>
            </w:pPr>
            <w:r>
              <w:rPr>
                <w:rFonts w:hint="eastAsia" w:cs="ﾋﾎﾌ・WinCharSetFFFF-H"/>
                <w:kern w:val="0"/>
              </w:rPr>
              <w:t>日期</w:t>
            </w:r>
            <w:r>
              <w:rPr>
                <w:kern w:val="0"/>
              </w:rPr>
              <w:t>/</w:t>
            </w:r>
            <w:r>
              <w:rPr>
                <w:rFonts w:hint="eastAsia" w:cs="宋体"/>
                <w:kern w:val="0"/>
              </w:rPr>
              <w:t>时间显</w:t>
            </w:r>
            <w:r>
              <w:rPr>
                <w:rFonts w:hint="eastAsia" w:cs="MS Mincho"/>
                <w:kern w:val="0"/>
              </w:rPr>
              <w:t>示，行李</w:t>
            </w:r>
            <w:r>
              <w:rPr>
                <w:rFonts w:hint="eastAsia" w:cs="宋体"/>
                <w:kern w:val="0"/>
              </w:rPr>
              <w:t>计</w:t>
            </w:r>
            <w:r>
              <w:rPr>
                <w:rFonts w:hint="eastAsia" w:cs="MS Mincho"/>
                <w:kern w:val="0"/>
              </w:rPr>
              <w:t>数，用</w:t>
            </w:r>
            <w:r>
              <w:rPr>
                <w:rFonts w:hint="eastAsia" w:cs="宋体"/>
                <w:kern w:val="0"/>
              </w:rPr>
              <w:t>户</w:t>
            </w:r>
            <w:r>
              <w:rPr>
                <w:rFonts w:hint="eastAsia" w:cs="MS Mincho"/>
                <w:kern w:val="0"/>
              </w:rPr>
              <w:t>管理，系</w:t>
            </w:r>
            <w:r>
              <w:rPr>
                <w:rFonts w:hint="eastAsia" w:cs="宋体"/>
                <w:kern w:val="0"/>
              </w:rPr>
              <w:t>统</w:t>
            </w:r>
            <w:r>
              <w:rPr>
                <w:rFonts w:hint="eastAsia" w:cs="MS Mincho"/>
                <w:kern w:val="0"/>
              </w:rPr>
              <w:t>工作</w:t>
            </w:r>
            <w:r>
              <w:rPr>
                <w:rFonts w:hint="eastAsia" w:cs="宋体"/>
                <w:kern w:val="0"/>
              </w:rPr>
              <w:t>计时</w:t>
            </w:r>
            <w:r>
              <w:rPr>
                <w:rFonts w:hint="eastAsia" w:cs="MS Mincho"/>
                <w:kern w:val="0"/>
              </w:rPr>
              <w:t>、射</w:t>
            </w:r>
            <w:r>
              <w:rPr>
                <w:rFonts w:hint="eastAsia" w:cs="宋体"/>
                <w:kern w:val="0"/>
              </w:rPr>
              <w:t>线</w:t>
            </w:r>
            <w:r>
              <w:rPr>
                <w:rFonts w:hint="eastAsia" w:cs="MS Mincho"/>
                <w:kern w:val="0"/>
              </w:rPr>
              <w:t>出</w:t>
            </w:r>
            <w:r>
              <w:rPr>
                <w:rFonts w:hint="eastAsia" w:cs="ﾋﾎﾌ・WinCharSetFFFF-H"/>
                <w:kern w:val="0"/>
              </w:rPr>
              <w:t>束</w:t>
            </w:r>
            <w:r>
              <w:rPr>
                <w:rFonts w:hint="eastAsia" w:cs="宋体"/>
                <w:kern w:val="0"/>
              </w:rPr>
              <w:t>计时</w:t>
            </w:r>
            <w:r>
              <w:rPr>
                <w:rFonts w:hint="eastAsia" w:cs="MS Mincho"/>
                <w:kern w:val="0"/>
              </w:rPr>
              <w:t>，上</w:t>
            </w:r>
            <w:r>
              <w:rPr>
                <w:rFonts w:hint="eastAsia" w:cs="宋体"/>
                <w:kern w:val="0"/>
              </w:rPr>
              <w:t>电</w:t>
            </w:r>
            <w:r>
              <w:rPr>
                <w:rFonts w:hint="eastAsia" w:cs="MS Mincho"/>
                <w:kern w:val="0"/>
              </w:rPr>
              <w:t>自</w:t>
            </w:r>
            <w:r>
              <w:rPr>
                <w:rFonts w:hint="eastAsia" w:cs="宋体"/>
                <w:kern w:val="0"/>
              </w:rPr>
              <w:t>检</w:t>
            </w:r>
            <w:r>
              <w:rPr>
                <w:rFonts w:hint="eastAsia" w:cs="MS Mincho"/>
                <w:kern w:val="0"/>
              </w:rPr>
              <w:t>，</w:t>
            </w:r>
            <w:r>
              <w:rPr>
                <w:rFonts w:hint="eastAsia" w:cs="宋体"/>
                <w:kern w:val="0"/>
              </w:rPr>
              <w:t>图</w:t>
            </w:r>
            <w:r>
              <w:rPr>
                <w:rFonts w:hint="eastAsia" w:cs="MS Mincho"/>
                <w:kern w:val="0"/>
              </w:rPr>
              <w:t>像存</w:t>
            </w:r>
            <w:r>
              <w:rPr>
                <w:rFonts w:hint="eastAsia" w:cs="宋体"/>
                <w:kern w:val="0"/>
              </w:rPr>
              <w:t>储</w:t>
            </w:r>
            <w:r>
              <w:rPr>
                <w:rFonts w:hint="eastAsia" w:cs="MS Mincho"/>
                <w:kern w:val="0"/>
              </w:rPr>
              <w:t>和</w:t>
            </w:r>
            <w:r>
              <w:rPr>
                <w:rFonts w:hint="eastAsia" w:cs="宋体"/>
                <w:kern w:val="0"/>
              </w:rPr>
              <w:t>检</w:t>
            </w:r>
            <w:r>
              <w:rPr>
                <w:rFonts w:hint="eastAsia" w:cs="MS Mincho"/>
                <w:kern w:val="0"/>
              </w:rPr>
              <w:t>索，</w:t>
            </w:r>
            <w:r>
              <w:rPr>
                <w:rFonts w:hint="eastAsia" w:cs="宋体"/>
                <w:kern w:val="0"/>
              </w:rPr>
              <w:t>维护诊</w:t>
            </w:r>
            <w:r>
              <w:rPr>
                <w:rFonts w:hint="eastAsia" w:cs="MS Mincho"/>
                <w:kern w:val="0"/>
              </w:rPr>
              <w:t>断，双向</w:t>
            </w:r>
            <w:r>
              <w:rPr>
                <w:rFonts w:hint="eastAsia" w:cs="宋体"/>
                <w:kern w:val="0"/>
              </w:rPr>
              <w:t>扫</w:t>
            </w:r>
            <w:r>
              <w:rPr>
                <w:rFonts w:hint="eastAsia" w:cs="MS Mincho"/>
                <w:kern w:val="0"/>
              </w:rPr>
              <w:t>描，</w:t>
            </w:r>
            <w:r>
              <w:rPr>
                <w:rFonts w:hint="eastAsia" w:cs="宋体"/>
                <w:kern w:val="0"/>
              </w:rPr>
              <w:t>图</w:t>
            </w:r>
            <w:r>
              <w:rPr>
                <w:rFonts w:hint="eastAsia" w:cs="MS Mincho"/>
                <w:kern w:val="0"/>
              </w:rPr>
              <w:t>像</w:t>
            </w:r>
            <w:r>
              <w:rPr>
                <w:rFonts w:hint="eastAsia" w:cs="宋体"/>
                <w:kern w:val="0"/>
              </w:rPr>
              <w:t>识别</w:t>
            </w:r>
            <w:r>
              <w:rPr>
                <w:rFonts w:hint="eastAsia" w:cs="MS Mincho"/>
                <w:kern w:val="0"/>
              </w:rPr>
              <w:t>培</w:t>
            </w:r>
            <w:r>
              <w:rPr>
                <w:rFonts w:hint="eastAsia" w:cs="宋体"/>
                <w:kern w:val="0"/>
              </w:rPr>
              <w:t>训</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宋体"/>
                <w:kern w:val="0"/>
              </w:rPr>
              <w:t>报</w:t>
            </w:r>
            <w:r>
              <w:rPr>
                <w:rFonts w:hint="eastAsia" w:cs="MS Mincho"/>
                <w:kern w:val="0"/>
              </w:rPr>
              <w:t>警</w:t>
            </w:r>
            <w:r>
              <w:rPr>
                <w:rFonts w:hint="eastAsia" w:cs="宋体"/>
                <w:kern w:val="0"/>
              </w:rPr>
              <w:t>辅</w:t>
            </w:r>
            <w:r>
              <w:rPr>
                <w:rFonts w:hint="eastAsia" w:cs="MS Mincho"/>
                <w:kern w:val="0"/>
              </w:rPr>
              <w:t>助</w:t>
            </w:r>
          </w:p>
        </w:tc>
        <w:tc>
          <w:tcPr>
            <w:tcW w:w="5387" w:type="dxa"/>
            <w:tcBorders>
              <w:top w:val="single" w:color="auto" w:sz="4" w:space="0"/>
              <w:left w:val="single" w:color="auto" w:sz="4" w:space="0"/>
              <w:bottom w:val="single" w:color="auto" w:sz="4" w:space="0"/>
              <w:right w:val="single" w:color="auto" w:sz="4" w:space="0"/>
            </w:tcBorders>
            <w:vAlign w:val="center"/>
          </w:tcPr>
          <w:p>
            <w:pPr>
              <w:autoSpaceDE w:val="0"/>
              <w:autoSpaceDN w:val="0"/>
              <w:adjustRightInd w:val="0"/>
              <w:jc w:val="left"/>
            </w:pPr>
            <w:r>
              <w:rPr>
                <w:rFonts w:hint="eastAsia" w:cs="ﾋﾎﾌ・WinCharSetFFFF-H"/>
                <w:kern w:val="0"/>
              </w:rPr>
              <w:t>智能</w:t>
            </w:r>
            <w:r>
              <w:rPr>
                <w:rFonts w:hint="eastAsia" w:cs="宋体"/>
                <w:kern w:val="0"/>
              </w:rPr>
              <w:t>识别</w:t>
            </w:r>
            <w:r>
              <w:rPr>
                <w:rFonts w:hint="eastAsia" w:cs="MS Mincho"/>
                <w:kern w:val="0"/>
              </w:rPr>
              <w:t>高密度</w:t>
            </w:r>
            <w:r>
              <w:rPr>
                <w:rFonts w:hint="eastAsia" w:cs="宋体"/>
                <w:kern w:val="0"/>
              </w:rPr>
              <w:t>报</w:t>
            </w:r>
            <w:r>
              <w:rPr>
                <w:rFonts w:hint="eastAsia" w:cs="MS Mincho"/>
                <w:kern w:val="0"/>
              </w:rPr>
              <w:t>警，</w:t>
            </w:r>
            <w:r>
              <w:rPr>
                <w:rFonts w:hint="eastAsia" w:cs="宋体"/>
                <w:kern w:val="0"/>
              </w:rPr>
              <w:t>图</w:t>
            </w:r>
            <w:r>
              <w:rPr>
                <w:rFonts w:hint="eastAsia" w:cs="MS Mincho"/>
                <w:kern w:val="0"/>
              </w:rPr>
              <w:t>像科吸收率、高吸收区</w:t>
            </w:r>
            <w:r>
              <w:rPr>
                <w:rFonts w:hint="eastAsia" w:cs="宋体"/>
                <w:kern w:val="0"/>
              </w:rPr>
              <w:t>报</w:t>
            </w:r>
            <w:r>
              <w:rPr>
                <w:rFonts w:hint="eastAsia" w:cs="MS Mincho"/>
                <w:kern w:val="0"/>
              </w:rPr>
              <w:t>警、爆炸物</w:t>
            </w:r>
            <w:r>
              <w:rPr>
                <w:kern w:val="0"/>
              </w:rPr>
              <w:t>/</w:t>
            </w:r>
            <w:r>
              <w:rPr>
                <w:rFonts w:hint="eastAsia" w:cs="ﾋﾎﾌ・WinCharSetFFFF-H"/>
                <w:kern w:val="0"/>
              </w:rPr>
              <w:t>毒品</w:t>
            </w:r>
            <w:r>
              <w:rPr>
                <w:rFonts w:hint="eastAsia" w:cs="宋体"/>
                <w:kern w:val="0"/>
              </w:rPr>
              <w:t>辅</w:t>
            </w:r>
            <w:r>
              <w:rPr>
                <w:rFonts w:hint="eastAsia" w:cs="MS Mincho"/>
                <w:kern w:val="0"/>
              </w:rPr>
              <w:t>助</w:t>
            </w:r>
            <w:r>
              <w:rPr>
                <w:rFonts w:hint="eastAsia" w:cs="宋体"/>
                <w:kern w:val="0"/>
              </w:rPr>
              <w:t>检查</w:t>
            </w:r>
            <w:r>
              <w:rPr>
                <w:rFonts w:hint="eastAsia" w:cs="MS Mincho"/>
                <w:kern w:val="0"/>
              </w:rPr>
              <w:t>，危</w:t>
            </w:r>
            <w:r>
              <w:rPr>
                <w:rFonts w:hint="eastAsia" w:cs="宋体"/>
                <w:kern w:val="0"/>
              </w:rPr>
              <w:t>险</w:t>
            </w:r>
            <w:r>
              <w:rPr>
                <w:rFonts w:hint="eastAsia" w:cs="MS Mincho"/>
                <w:kern w:val="0"/>
              </w:rPr>
              <w:t>品</w:t>
            </w:r>
            <w:r>
              <w:rPr>
                <w:rFonts w:hint="eastAsia" w:cs="宋体"/>
                <w:kern w:val="0"/>
              </w:rPr>
              <w:t>图</w:t>
            </w:r>
            <w:r>
              <w:rPr>
                <w:rFonts w:hint="eastAsia" w:cs="MS Mincho"/>
                <w:kern w:val="0"/>
              </w:rPr>
              <w:t>像插入，通</w:t>
            </w:r>
            <w:r>
              <w:rPr>
                <w:rFonts w:hint="eastAsia" w:cs="宋体"/>
                <w:kern w:val="0"/>
              </w:rPr>
              <w:t>过</w:t>
            </w:r>
            <w:r>
              <w:rPr>
                <w:rFonts w:hint="eastAsia" w:cs="MS Mincho"/>
                <w:kern w:val="0"/>
              </w:rPr>
              <w:t>危</w:t>
            </w:r>
            <w:r>
              <w:rPr>
                <w:rFonts w:hint="eastAsia" w:cs="宋体"/>
                <w:kern w:val="0"/>
              </w:rPr>
              <w:t>险</w:t>
            </w:r>
            <w:r>
              <w:rPr>
                <w:rFonts w:hint="eastAsia" w:cs="MS Mincho"/>
                <w:kern w:val="0"/>
              </w:rPr>
              <w:t>品模</w:t>
            </w:r>
            <w:r>
              <w:rPr>
                <w:rFonts w:hint="eastAsia" w:cs="宋体"/>
                <w:kern w:val="0"/>
              </w:rPr>
              <w:t>拟图</w:t>
            </w:r>
            <w:r>
              <w:rPr>
                <w:rFonts w:hint="eastAsia" w:cs="MS Mincho"/>
                <w:kern w:val="0"/>
              </w:rPr>
              <w:t>像插入功</w:t>
            </w:r>
            <w:r>
              <w:rPr>
                <w:rFonts w:hint="eastAsia" w:cs="ﾋﾎﾌ・WinCharSetFFFF-H"/>
                <w:kern w:val="0"/>
              </w:rPr>
              <w:t>能等方式，</w:t>
            </w:r>
            <w:r>
              <w:rPr>
                <w:rFonts w:hint="eastAsia" w:cs="宋体"/>
                <w:kern w:val="0"/>
              </w:rPr>
              <w:t>辅</w:t>
            </w:r>
            <w:r>
              <w:rPr>
                <w:rFonts w:hint="eastAsia" w:cs="MS Mincho"/>
                <w:kern w:val="0"/>
              </w:rPr>
              <w:t>助提示</w:t>
            </w:r>
            <w:r>
              <w:rPr>
                <w:rFonts w:hint="eastAsia" w:cs="宋体"/>
                <w:kern w:val="0"/>
              </w:rPr>
              <w:t>识别较为</w:t>
            </w:r>
            <w:r>
              <w:rPr>
                <w:rFonts w:hint="eastAsia" w:cs="MS Mincho"/>
                <w:kern w:val="0"/>
              </w:rPr>
              <w:t>典型的危</w:t>
            </w:r>
            <w:r>
              <w:rPr>
                <w:rFonts w:hint="eastAsia" w:cs="宋体"/>
                <w:kern w:val="0"/>
              </w:rPr>
              <w:t>险</w:t>
            </w:r>
            <w:r>
              <w:rPr>
                <w:rFonts w:hint="eastAsia" w:cs="MS Mincho"/>
                <w:kern w:val="0"/>
              </w:rPr>
              <w:t>品，并提供高密度区</w:t>
            </w:r>
            <w:r>
              <w:rPr>
                <w:rFonts w:hint="eastAsia" w:cs="ﾋﾎﾌ・WinCharSetFFFF-H"/>
                <w:kern w:val="0"/>
              </w:rPr>
              <w:t>域、爆炸物、毒品、</w:t>
            </w:r>
            <w:r>
              <w:rPr>
                <w:rFonts w:hint="eastAsia" w:cs="宋体"/>
                <w:kern w:val="0"/>
              </w:rPr>
              <w:t>电</w:t>
            </w:r>
            <w:r>
              <w:rPr>
                <w:rFonts w:hint="eastAsia" w:cs="MS Mincho"/>
                <w:kern w:val="0"/>
              </w:rPr>
              <w:t>池</w:t>
            </w:r>
            <w:r>
              <w:rPr>
                <w:rFonts w:hint="eastAsia" w:cs="宋体"/>
                <w:kern w:val="0"/>
              </w:rPr>
              <w:t>类产</w:t>
            </w:r>
            <w:r>
              <w:rPr>
                <w:rFonts w:hint="eastAsia" w:cs="MS Mincho"/>
                <w:kern w:val="0"/>
              </w:rPr>
              <w:t>品等</w:t>
            </w:r>
            <w:r>
              <w:rPr>
                <w:rFonts w:hint="eastAsia" w:cs="宋体"/>
                <w:kern w:val="0"/>
              </w:rPr>
              <w:t>辅</w:t>
            </w:r>
            <w:r>
              <w:rPr>
                <w:rFonts w:hint="eastAsia" w:cs="MS Mincho"/>
                <w:kern w:val="0"/>
              </w:rPr>
              <w:t>助探</w:t>
            </w:r>
            <w:r>
              <w:rPr>
                <w:rFonts w:hint="eastAsia" w:cs="宋体"/>
                <w:kern w:val="0"/>
              </w:rPr>
              <w:t>测</w:t>
            </w:r>
            <w:r>
              <w:rPr>
                <w:rFonts w:hint="eastAsia" w:cs="MS Mincho"/>
                <w:kern w:val="0"/>
              </w:rPr>
              <w:t>及</w:t>
            </w:r>
            <w:r>
              <w:rPr>
                <w:rFonts w:hint="eastAsia" w:cs="宋体"/>
                <w:kern w:val="0"/>
              </w:rPr>
              <w:t>报</w:t>
            </w:r>
            <w:r>
              <w:rPr>
                <w:rFonts w:hint="eastAsia" w:cs="MS Mincho"/>
                <w:kern w:val="0"/>
              </w:rPr>
              <w:t>警功能。网</w:t>
            </w:r>
            <w:r>
              <w:rPr>
                <w:rFonts w:hint="eastAsia" w:cs="宋体"/>
                <w:kern w:val="0"/>
              </w:rPr>
              <w:t>络扩</w:t>
            </w:r>
            <w:r>
              <w:rPr>
                <w:rFonts w:hint="eastAsia" w:cs="ﾋﾎﾌ・WinCharSetFFFF-H"/>
                <w:kern w:val="0"/>
              </w:rPr>
              <w:t>展</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8522" w:type="dxa"/>
            <w:gridSpan w:val="2"/>
            <w:tcBorders>
              <w:top w:val="single" w:color="auto" w:sz="4" w:space="0"/>
              <w:left w:val="single" w:color="auto" w:sz="4" w:space="0"/>
              <w:bottom w:val="single" w:color="auto" w:sz="4" w:space="0"/>
              <w:right w:val="single" w:color="auto" w:sz="4" w:space="0"/>
            </w:tcBorders>
            <w:vAlign w:val="center"/>
          </w:tcPr>
          <w:p>
            <w:pPr>
              <w:autoSpaceDN w:val="0"/>
              <w:rPr>
                <w:b/>
              </w:rPr>
            </w:pPr>
            <w:r>
              <w:rPr>
                <w:b/>
                <w:bCs/>
                <w:kern w:val="0"/>
              </w:rPr>
              <w:t>X</w:t>
            </w:r>
            <w:r>
              <w:rPr>
                <w:rFonts w:hint="eastAsia" w:cs="ﾋﾎﾌ・WinCharSetFFFF-H"/>
                <w:b/>
                <w:kern w:val="0"/>
              </w:rPr>
              <w:t>射</w:t>
            </w:r>
            <w:r>
              <w:rPr>
                <w:rFonts w:hint="eastAsia" w:cs="宋体"/>
                <w:b/>
                <w:kern w:val="0"/>
              </w:rPr>
              <w:t>线发</w:t>
            </w:r>
            <w:r>
              <w:rPr>
                <w:rFonts w:hint="eastAsia" w:cs="MS Mincho"/>
                <w:b/>
                <w:kern w:val="0"/>
              </w:rPr>
              <w:t>生</w:t>
            </w:r>
            <w:r>
              <w:rPr>
                <w:rFonts w:hint="eastAsia" w:cs="ﾋﾎﾌ・WinCharSetFFFF-H"/>
                <w:b/>
                <w:kern w:val="0"/>
              </w:rPr>
              <w:t>器</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ﾋﾎﾌ・WinCharSetFFFF-H"/>
                <w:kern w:val="0"/>
              </w:rPr>
              <w:t>阳极</w:t>
            </w:r>
            <w:r>
              <w:rPr>
                <w:rFonts w:hint="eastAsia" w:cs="宋体"/>
                <w:kern w:val="0"/>
              </w:rPr>
              <w:t>电压</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kern w:val="0"/>
              </w:rPr>
              <w:t xml:space="preserve">160 </w:t>
            </w:r>
            <w:r>
              <w:rPr>
                <w:rFonts w:hint="eastAsia" w:cs="ﾋﾎﾌ・WinCharSetFFFF-H"/>
                <w:kern w:val="0"/>
              </w:rPr>
              <w:t>千伏（可</w:t>
            </w:r>
            <w:r>
              <w:rPr>
                <w:rFonts w:hint="eastAsia" w:cs="宋体"/>
                <w:kern w:val="0"/>
              </w:rPr>
              <w:t>调</w:t>
            </w:r>
            <w:r>
              <w:rPr>
                <w:rFonts w:hint="eastAsia" w:cs="ﾋﾎﾌ・WinCharSetFFFF-H"/>
                <w:kern w:val="0"/>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ﾋﾎﾌ・WinCharSetFFFF-H"/>
                <w:kern w:val="0"/>
              </w:rPr>
              <w:t>冷却方式</w:t>
            </w:r>
            <w:r>
              <w:rPr>
                <w:rFonts w:cs="ﾋﾎﾌ・WinCharSetFFFF-H"/>
                <w:kern w:val="0"/>
              </w:rPr>
              <w:t xml:space="preserve"> </w:t>
            </w:r>
            <w:r>
              <w:rPr>
                <w:kern w:val="0"/>
              </w:rPr>
              <w:t xml:space="preserve">/ </w:t>
            </w:r>
            <w:r>
              <w:rPr>
                <w:rFonts w:hint="eastAsia" w:cs="ﾋﾎﾌ・WinCharSetFFFF-H"/>
                <w:kern w:val="0"/>
              </w:rPr>
              <w:t>运行周期</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ﾋﾎﾌ・WinCharSetFFFF-H"/>
                <w:kern w:val="0"/>
              </w:rPr>
              <w:t>油冷</w:t>
            </w:r>
            <w:r>
              <w:rPr>
                <w:rFonts w:cs="ﾋﾎﾌ・WinCharSetFFFF-H"/>
                <w:kern w:val="0"/>
              </w:rPr>
              <w:t xml:space="preserve"> </w:t>
            </w:r>
            <w:r>
              <w:rPr>
                <w:kern w:val="0"/>
              </w:rPr>
              <w:t>/ 100%</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ﾋﾎﾌ・WinCharSetFFFF-H"/>
                <w:kern w:val="0"/>
              </w:rPr>
              <w:t>胶卷安全</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宋体"/>
                <w:kern w:val="0"/>
              </w:rPr>
              <w:t>对</w:t>
            </w:r>
            <w:r>
              <w:rPr>
                <w:rFonts w:hint="eastAsia" w:cs="MS Mincho"/>
                <w:kern w:val="0"/>
              </w:rPr>
              <w:t>符合</w:t>
            </w:r>
            <w:r>
              <w:rPr>
                <w:kern w:val="0"/>
              </w:rPr>
              <w:t xml:space="preserve">ASA/ISO1600 </w:t>
            </w:r>
            <w:r>
              <w:rPr>
                <w:rFonts w:hint="eastAsia" w:cs="宋体"/>
                <w:kern w:val="0"/>
              </w:rPr>
              <w:t>标</w:t>
            </w:r>
            <w:r>
              <w:rPr>
                <w:rFonts w:hint="eastAsia" w:cs="MS Mincho"/>
                <w:kern w:val="0"/>
              </w:rPr>
              <w:t>准胶卷安</w:t>
            </w:r>
            <w:r>
              <w:rPr>
                <w:rFonts w:hint="eastAsia" w:cs="ﾋﾎﾌ・WinCharSetFFFF-H"/>
                <w:kern w:val="0"/>
              </w:rPr>
              <w:t>全</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8522" w:type="dxa"/>
            <w:gridSpan w:val="2"/>
            <w:tcBorders>
              <w:top w:val="single" w:color="auto" w:sz="4" w:space="0"/>
              <w:left w:val="single" w:color="auto" w:sz="4" w:space="0"/>
              <w:bottom w:val="single" w:color="auto" w:sz="4" w:space="0"/>
              <w:right w:val="single" w:color="auto" w:sz="4" w:space="0"/>
            </w:tcBorders>
            <w:vAlign w:val="center"/>
          </w:tcPr>
          <w:p>
            <w:pPr>
              <w:autoSpaceDN w:val="0"/>
              <w:rPr>
                <w:b/>
              </w:rPr>
            </w:pPr>
            <w:r>
              <w:rPr>
                <w:rFonts w:hint="eastAsia" w:cs="ﾋﾎﾌ・WinCharSetFFFF-H"/>
                <w:b/>
                <w:kern w:val="0"/>
              </w:rPr>
              <w:t>安装数据</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ﾋﾎﾌ・WinCharSetFFFF-H"/>
                <w:kern w:val="0"/>
              </w:rPr>
              <w:t>外形尺寸（</w:t>
            </w:r>
            <w:r>
              <w:rPr>
                <w:rFonts w:hint="eastAsia" w:cs="宋体"/>
                <w:kern w:val="0"/>
              </w:rPr>
              <w:t>长</w:t>
            </w:r>
            <w:r>
              <w:rPr>
                <w:rFonts w:hint="eastAsia" w:cs="MS Mincho"/>
                <w:kern w:val="0"/>
              </w:rPr>
              <w:t>×</w:t>
            </w:r>
            <w:r>
              <w:rPr>
                <w:rFonts w:hint="eastAsia" w:cs="宋体"/>
                <w:kern w:val="0"/>
              </w:rPr>
              <w:t>宽</w:t>
            </w:r>
            <w:r>
              <w:rPr>
                <w:rFonts w:hint="eastAsia" w:cs="MS Mincho"/>
                <w:kern w:val="0"/>
              </w:rPr>
              <w:t>×高）</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kern w:val="0"/>
              </w:rPr>
              <w:t xml:space="preserve">3612 </w:t>
            </w:r>
            <w:r>
              <w:rPr>
                <w:rFonts w:hint="eastAsia" w:cs="ﾋﾎﾌ・WinCharSetFFFF-H"/>
                <w:kern w:val="0"/>
              </w:rPr>
              <w:t>毫米×</w:t>
            </w:r>
            <w:r>
              <w:rPr>
                <w:kern w:val="0"/>
              </w:rPr>
              <w:t xml:space="preserve">1320 </w:t>
            </w:r>
            <w:r>
              <w:rPr>
                <w:rFonts w:hint="eastAsia" w:cs="ﾋﾎﾌ・WinCharSetFFFF-H"/>
                <w:kern w:val="0"/>
              </w:rPr>
              <w:t>毫米×</w:t>
            </w:r>
            <w:r>
              <w:rPr>
                <w:kern w:val="0"/>
              </w:rPr>
              <w:t xml:space="preserve">1790 </w:t>
            </w:r>
            <w:r>
              <w:rPr>
                <w:rFonts w:hint="eastAsia" w:cs="ﾋﾎﾌ・WinCharSetFFFF-H"/>
                <w:kern w:val="0"/>
              </w:rPr>
              <w:t>毫米</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ﾋﾎﾌ・WinCharSetFFFF-H"/>
                <w:kern w:val="0"/>
              </w:rPr>
              <w:t>重量</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kern w:val="0"/>
              </w:rPr>
              <w:t xml:space="preserve">1200 </w:t>
            </w:r>
            <w:r>
              <w:rPr>
                <w:rFonts w:hint="eastAsia" w:cs="ﾋﾎﾌ・WinCharSetFFFF-H"/>
                <w:kern w:val="0"/>
              </w:rPr>
              <w:t>千克</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宋体"/>
                <w:kern w:val="0"/>
              </w:rPr>
              <w:t>储</w:t>
            </w:r>
            <w:r>
              <w:rPr>
                <w:rFonts w:hint="eastAsia" w:cs="MS Mincho"/>
                <w:kern w:val="0"/>
              </w:rPr>
              <w:t>藏温度</w:t>
            </w:r>
            <w:r>
              <w:rPr>
                <w:rFonts w:cs="ﾋﾎﾌ・WinCharSetFFFF-H"/>
                <w:kern w:val="0"/>
              </w:rPr>
              <w:t xml:space="preserve"> </w:t>
            </w:r>
            <w:r>
              <w:rPr>
                <w:kern w:val="0"/>
              </w:rPr>
              <w:t xml:space="preserve">/ </w:t>
            </w:r>
            <w:r>
              <w:rPr>
                <w:rFonts w:hint="eastAsia" w:cs="ﾋﾎﾌ・WinCharSetFFFF-H"/>
                <w:kern w:val="0"/>
              </w:rPr>
              <w:t>相</w:t>
            </w:r>
            <w:r>
              <w:rPr>
                <w:rFonts w:hint="eastAsia" w:cs="宋体"/>
                <w:kern w:val="0"/>
              </w:rPr>
              <w:t>对</w:t>
            </w:r>
            <w:r>
              <w:rPr>
                <w:rFonts w:hint="eastAsia" w:cs="MS Mincho"/>
                <w:kern w:val="0"/>
              </w:rPr>
              <w:t>湿</w:t>
            </w:r>
            <w:r>
              <w:rPr>
                <w:rFonts w:hint="eastAsia" w:cs="ﾋﾎﾌ・WinCharSetFFFF-H"/>
                <w:kern w:val="0"/>
              </w:rPr>
              <w:t>度</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kern w:val="0"/>
              </w:rPr>
              <w:t>-40</w:t>
            </w:r>
            <w:r>
              <w:rPr>
                <w:rFonts w:hint="eastAsia" w:cs="新宋体-WinCharSetFFFF-H"/>
                <w:kern w:val="0"/>
              </w:rPr>
              <w:t>℃</w:t>
            </w:r>
            <w:r>
              <w:rPr>
                <w:rFonts w:hint="eastAsia" w:cs="ﾋﾎﾌ・WinCharSetFFFF-H"/>
                <w:kern w:val="0"/>
              </w:rPr>
              <w:t>～</w:t>
            </w:r>
            <w:r>
              <w:rPr>
                <w:kern w:val="0"/>
              </w:rPr>
              <w:t>+60</w:t>
            </w:r>
            <w:r>
              <w:rPr>
                <w:rFonts w:hint="eastAsia" w:cs="新宋体-WinCharSetFFFF-H"/>
                <w:kern w:val="0"/>
              </w:rPr>
              <w:t>℃</w:t>
            </w:r>
            <w:r>
              <w:rPr>
                <w:rFonts w:cs="新宋体-WinCharSetFFFF-H"/>
                <w:kern w:val="0"/>
              </w:rPr>
              <w:t xml:space="preserve"> </w:t>
            </w:r>
            <w:r>
              <w:rPr>
                <w:kern w:val="0"/>
              </w:rPr>
              <w:t>/ 5%</w:t>
            </w:r>
            <w:r>
              <w:rPr>
                <w:rFonts w:hint="eastAsia" w:cs="ﾋﾎﾌ・WinCharSetFFFF-H"/>
                <w:kern w:val="0"/>
              </w:rPr>
              <w:t>～</w:t>
            </w:r>
            <w:r>
              <w:rPr>
                <w:kern w:val="0"/>
              </w:rPr>
              <w:t>95%</w:t>
            </w:r>
            <w:r>
              <w:rPr>
                <w:rFonts w:hint="eastAsia" w:cs="ﾋﾎﾌ・WinCharSetFFFF-H"/>
                <w:kern w:val="0"/>
              </w:rPr>
              <w:t>（不</w:t>
            </w:r>
            <w:r>
              <w:rPr>
                <w:rFonts w:hint="eastAsia" w:cs="宋体"/>
                <w:kern w:val="0"/>
              </w:rPr>
              <w:t>结</w:t>
            </w:r>
            <w:r>
              <w:rPr>
                <w:rFonts w:hint="eastAsia" w:cs="MS Mincho"/>
                <w:kern w:val="0"/>
              </w:rPr>
              <w:t>露</w:t>
            </w:r>
            <w:r>
              <w:rPr>
                <w:rFonts w:hint="eastAsia" w:cs="ﾋﾎﾌ・WinCharSetFFFF-H"/>
                <w:kern w:val="0"/>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ﾋﾎﾌ・WinCharSetFFFF-H"/>
                <w:kern w:val="0"/>
              </w:rPr>
              <w:t>运行温度</w:t>
            </w:r>
            <w:r>
              <w:rPr>
                <w:rFonts w:cs="ﾋﾎﾌ・WinCharSetFFFF-H"/>
                <w:kern w:val="0"/>
              </w:rPr>
              <w:t xml:space="preserve"> </w:t>
            </w:r>
            <w:r>
              <w:rPr>
                <w:kern w:val="0"/>
              </w:rPr>
              <w:t xml:space="preserve">/ </w:t>
            </w:r>
            <w:r>
              <w:rPr>
                <w:rFonts w:hint="eastAsia" w:cs="ﾋﾎﾌ・WinCharSetFFFF-H"/>
                <w:kern w:val="0"/>
              </w:rPr>
              <w:t>相</w:t>
            </w:r>
            <w:r>
              <w:rPr>
                <w:rFonts w:hint="eastAsia" w:cs="宋体"/>
                <w:kern w:val="0"/>
              </w:rPr>
              <w:t>对</w:t>
            </w:r>
            <w:r>
              <w:rPr>
                <w:rFonts w:hint="eastAsia" w:cs="MS Mincho"/>
                <w:kern w:val="0"/>
              </w:rPr>
              <w:t>湿</w:t>
            </w:r>
            <w:r>
              <w:rPr>
                <w:rFonts w:hint="eastAsia" w:cs="ﾋﾎﾌ・WinCharSetFFFF-H"/>
                <w:kern w:val="0"/>
              </w:rPr>
              <w:t>度</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kern w:val="0"/>
              </w:rPr>
              <w:t>0</w:t>
            </w:r>
            <w:r>
              <w:rPr>
                <w:rFonts w:hint="eastAsia" w:cs="新宋体-WinCharSetFFFF-H"/>
                <w:kern w:val="0"/>
              </w:rPr>
              <w:t>℃</w:t>
            </w:r>
            <w:r>
              <w:rPr>
                <w:rFonts w:hint="eastAsia" w:cs="ﾋﾎﾌ・WinCharSetFFFF-H"/>
                <w:kern w:val="0"/>
              </w:rPr>
              <w:t>～</w:t>
            </w:r>
            <w:r>
              <w:rPr>
                <w:kern w:val="0"/>
              </w:rPr>
              <w:t>+40</w:t>
            </w:r>
            <w:r>
              <w:rPr>
                <w:rFonts w:hint="eastAsia" w:cs="新宋体-WinCharSetFFFF-H"/>
                <w:kern w:val="0"/>
              </w:rPr>
              <w:t>℃</w:t>
            </w:r>
            <w:r>
              <w:rPr>
                <w:rFonts w:cs="新宋体-WinCharSetFFFF-H"/>
                <w:kern w:val="0"/>
              </w:rPr>
              <w:t xml:space="preserve"> </w:t>
            </w:r>
            <w:r>
              <w:rPr>
                <w:kern w:val="0"/>
              </w:rPr>
              <w:t>/ 5%</w:t>
            </w:r>
            <w:r>
              <w:rPr>
                <w:rFonts w:hint="eastAsia" w:cs="ﾋﾎﾌ・WinCharSetFFFF-H"/>
                <w:kern w:val="0"/>
              </w:rPr>
              <w:t>～</w:t>
            </w:r>
            <w:r>
              <w:rPr>
                <w:kern w:val="0"/>
              </w:rPr>
              <w:t>95%</w:t>
            </w:r>
            <w:r>
              <w:rPr>
                <w:rFonts w:hint="eastAsia" w:cs="ﾋﾎﾌ・WinCharSetFFFF-H"/>
                <w:kern w:val="0"/>
              </w:rPr>
              <w:t>（不</w:t>
            </w:r>
            <w:r>
              <w:rPr>
                <w:rFonts w:hint="eastAsia" w:cs="宋体"/>
                <w:kern w:val="0"/>
              </w:rPr>
              <w:t>结</w:t>
            </w:r>
            <w:r>
              <w:rPr>
                <w:rFonts w:hint="eastAsia" w:cs="MS Mincho"/>
                <w:kern w:val="0"/>
              </w:rPr>
              <w:t>露</w:t>
            </w:r>
            <w:r>
              <w:rPr>
                <w:rFonts w:hint="eastAsia" w:cs="ﾋﾎﾌ・WinCharSetFFFF-H"/>
                <w:kern w:val="0"/>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宋体"/>
                <w:kern w:val="0"/>
              </w:rPr>
              <w:t>电</w:t>
            </w:r>
            <w:r>
              <w:rPr>
                <w:rFonts w:hint="eastAsia" w:cs="MS Mincho"/>
                <w:kern w:val="0"/>
              </w:rPr>
              <w:t>源</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ﾋﾎﾌ・WinCharSetFFFF-H"/>
                <w:kern w:val="0"/>
              </w:rPr>
              <w:t>交流</w:t>
            </w:r>
            <w:r>
              <w:rPr>
                <w:kern w:val="0"/>
              </w:rPr>
              <w:t xml:space="preserve">220 </w:t>
            </w:r>
            <w:r>
              <w:rPr>
                <w:rFonts w:hint="eastAsia" w:cs="ﾋﾎﾌ・WinCharSetFFFF-H"/>
                <w:kern w:val="0"/>
              </w:rPr>
              <w:t>伏</w:t>
            </w:r>
            <w:r>
              <w:rPr>
                <w:kern w:val="0"/>
              </w:rPr>
              <w:t>(-15%</w:t>
            </w:r>
            <w:r>
              <w:rPr>
                <w:rFonts w:hint="eastAsia" w:cs="ﾋﾎﾌ・WinCharSetFFFF-H"/>
                <w:kern w:val="0"/>
              </w:rPr>
              <w:t>～</w:t>
            </w:r>
            <w:r>
              <w:rPr>
                <w:kern w:val="0"/>
              </w:rPr>
              <w:t>+10%)</w:t>
            </w:r>
            <w:r>
              <w:rPr>
                <w:rFonts w:hint="eastAsia" w:cs="ﾋﾎﾌ・WinCharSetFFFF-H"/>
                <w:kern w:val="0"/>
              </w:rPr>
              <w:t>，</w:t>
            </w:r>
            <w:r>
              <w:rPr>
                <w:kern w:val="0"/>
              </w:rPr>
              <w:t xml:space="preserve">50 </w:t>
            </w:r>
            <w:r>
              <w:rPr>
                <w:rFonts w:hint="eastAsia" w:cs="ﾋﾎﾌ・WinCharSetFFFF-H"/>
                <w:kern w:val="0"/>
              </w:rPr>
              <w:t>赫</w:t>
            </w:r>
            <w:r>
              <w:rPr>
                <w:rFonts w:hint="eastAsia" w:cs="宋体"/>
                <w:kern w:val="0"/>
              </w:rPr>
              <w:t>兹</w:t>
            </w:r>
            <w:r>
              <w:rPr>
                <w:rFonts w:hint="eastAsia" w:cs="MS Mincho"/>
                <w:kern w:val="0"/>
              </w:rPr>
              <w:t>±</w:t>
            </w:r>
            <w:r>
              <w:rPr>
                <w:kern w:val="0"/>
              </w:rPr>
              <w:t xml:space="preserve">3 </w:t>
            </w:r>
            <w:r>
              <w:rPr>
                <w:rFonts w:hint="eastAsia" w:cs="ﾋﾎﾌ・WinCharSetFFFF-H"/>
                <w:kern w:val="0"/>
              </w:rPr>
              <w:t>赫</w:t>
            </w:r>
            <w:r>
              <w:rPr>
                <w:rFonts w:hint="eastAsia" w:cs="宋体"/>
                <w:kern w:val="0"/>
              </w:rPr>
              <w:t>兹</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Ex>
        <w:tc>
          <w:tcPr>
            <w:tcW w:w="3135" w:type="dxa"/>
            <w:tcBorders>
              <w:top w:val="single" w:color="auto" w:sz="4" w:space="0"/>
              <w:left w:val="single" w:color="auto" w:sz="4" w:space="0"/>
              <w:bottom w:val="single" w:color="auto" w:sz="4" w:space="0"/>
              <w:right w:val="single" w:color="auto" w:sz="4" w:space="0"/>
            </w:tcBorders>
            <w:vAlign w:val="center"/>
          </w:tcPr>
          <w:p>
            <w:pPr>
              <w:autoSpaceDN w:val="0"/>
            </w:pPr>
            <w:r>
              <w:rPr>
                <w:rFonts w:hint="eastAsia" w:cs="ﾋﾎﾌ・WinCharSetFFFF-H"/>
                <w:kern w:val="0"/>
              </w:rPr>
              <w:t>功耗</w:t>
            </w:r>
          </w:p>
        </w:tc>
        <w:tc>
          <w:tcPr>
            <w:tcW w:w="5387" w:type="dxa"/>
            <w:tcBorders>
              <w:top w:val="single" w:color="auto" w:sz="4" w:space="0"/>
              <w:left w:val="single" w:color="auto" w:sz="4" w:space="0"/>
              <w:bottom w:val="single" w:color="auto" w:sz="4" w:space="0"/>
              <w:right w:val="single" w:color="auto" w:sz="4" w:space="0"/>
            </w:tcBorders>
            <w:vAlign w:val="center"/>
          </w:tcPr>
          <w:p>
            <w:pPr>
              <w:autoSpaceDN w:val="0"/>
            </w:pPr>
            <w:r>
              <w:rPr>
                <w:kern w:val="0"/>
              </w:rPr>
              <w:t xml:space="preserve">1.0 </w:t>
            </w:r>
            <w:r>
              <w:rPr>
                <w:rFonts w:hint="eastAsia" w:cs="ﾋﾎﾌ・WinCharSetFFFF-H"/>
                <w:kern w:val="0"/>
              </w:rPr>
              <w:t>千伏安</w:t>
            </w:r>
          </w:p>
        </w:tc>
      </w:tr>
    </w:tbl>
    <w:p/>
    <w:p>
      <w:pPr>
        <w:pStyle w:val="3"/>
        <w:numPr>
          <w:ilvl w:val="0"/>
          <w:numId w:val="0"/>
        </w:numPr>
        <w:ind w:left="180"/>
      </w:pPr>
      <w:bookmarkStart w:id="230" w:name="_Toc9226"/>
      <w:bookmarkStart w:id="231" w:name="_Toc457880692"/>
      <w:r>
        <w:rPr>
          <w:rFonts w:hint="eastAsia" w:ascii="宋体" w:hAnsi="宋体" w:eastAsia="宋体"/>
        </w:rPr>
        <w:t>多楔带式辊道机</w:t>
      </w:r>
      <w:bookmarkEnd w:id="230"/>
      <w:bookmarkEnd w:id="231"/>
    </w:p>
    <w:p>
      <w:pPr>
        <w:pStyle w:val="7"/>
        <w:spacing w:line="360" w:lineRule="auto"/>
        <w:ind w:left="480"/>
      </w:pPr>
      <w:r>
        <w:rPr>
          <w:rFonts w:hint="eastAsia"/>
        </w:rPr>
        <w:t>技术要求：</w:t>
      </w:r>
    </w:p>
    <w:p>
      <w:pPr>
        <w:numPr>
          <w:ilvl w:val="0"/>
          <w:numId w:val="31"/>
        </w:numPr>
        <w:spacing w:line="360" w:lineRule="auto"/>
      </w:pPr>
      <w:r>
        <w:rPr>
          <w:rFonts w:hint="eastAsia"/>
        </w:rPr>
        <w:t>技术成熟、稳定可靠。</w:t>
      </w:r>
    </w:p>
    <w:p>
      <w:pPr>
        <w:numPr>
          <w:ilvl w:val="0"/>
          <w:numId w:val="31"/>
        </w:numPr>
        <w:spacing w:line="360" w:lineRule="auto"/>
      </w:pPr>
      <w:r>
        <w:rPr>
          <w:rFonts w:hint="eastAsia"/>
        </w:rPr>
        <w:t>噪音低，平均噪音小于65db。</w:t>
      </w:r>
    </w:p>
    <w:p>
      <w:pPr>
        <w:numPr>
          <w:ilvl w:val="0"/>
          <w:numId w:val="31"/>
        </w:numPr>
        <w:spacing w:line="360" w:lineRule="auto"/>
      </w:pPr>
      <w:r>
        <w:rPr>
          <w:rFonts w:hint="eastAsia"/>
        </w:rPr>
        <w:t>外观及色彩美观大方，结构简单、合理、故障率低为免维护设备。</w:t>
      </w:r>
    </w:p>
    <w:p>
      <w:pPr>
        <w:numPr>
          <w:ilvl w:val="0"/>
          <w:numId w:val="31"/>
        </w:numPr>
        <w:spacing w:line="360" w:lineRule="auto"/>
      </w:pPr>
      <w:r>
        <w:rPr>
          <w:rFonts w:hint="eastAsia"/>
        </w:rPr>
        <w:t>输送平稳快速。</w:t>
      </w:r>
    </w:p>
    <w:p>
      <w:pPr>
        <w:numPr>
          <w:ilvl w:val="0"/>
          <w:numId w:val="31"/>
        </w:numPr>
        <w:spacing w:line="360" w:lineRule="auto"/>
      </w:pPr>
      <w:r>
        <w:rPr>
          <w:rFonts w:hint="eastAsia"/>
        </w:rPr>
        <w:t>输送负载能力强：100KG/M。</w:t>
      </w:r>
    </w:p>
    <w:p>
      <w:pPr>
        <w:numPr>
          <w:ilvl w:val="0"/>
          <w:numId w:val="31"/>
        </w:numPr>
        <w:spacing w:line="360" w:lineRule="auto"/>
      </w:pPr>
      <w:r>
        <w:rPr>
          <w:rFonts w:hint="eastAsia"/>
        </w:rPr>
        <w:t>设备配置性价比高。</w:t>
      </w:r>
    </w:p>
    <w:tbl>
      <w:tblPr>
        <w:tblStyle w:val="12"/>
        <w:tblW w:w="7626" w:type="dxa"/>
        <w:jc w:val="center"/>
        <w:tblInd w:w="0" w:type="dxa"/>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
      <w:tblGrid>
        <w:gridCol w:w="2492"/>
        <w:gridCol w:w="5134"/>
      </w:tblGrid>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jc w:val="center"/>
        </w:trPr>
        <w:tc>
          <w:tcPr>
            <w:tcW w:w="7626" w:type="dxa"/>
            <w:gridSpan w:val="2"/>
            <w:tcBorders>
              <w:top w:val="single" w:color="auto" w:sz="18" w:space="0"/>
              <w:left w:val="single" w:color="auto" w:sz="18" w:space="0"/>
              <w:bottom w:val="single" w:color="auto" w:sz="6" w:space="0"/>
              <w:right w:val="single" w:color="auto" w:sz="18" w:space="0"/>
            </w:tcBorders>
            <w:shd w:val="clear" w:color="auto" w:fill="CCCCCC"/>
            <w:vAlign w:val="center"/>
          </w:tcPr>
          <w:p>
            <w:pPr>
              <w:jc w:val="center"/>
            </w:pPr>
            <w:r>
              <w:rPr>
                <w:rFonts w:hint="eastAsia"/>
              </w:rPr>
              <w:t>多楔带式辊道机技术参数</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jc w:val="center"/>
        </w:trPr>
        <w:tc>
          <w:tcPr>
            <w:tcW w:w="2492" w:type="dxa"/>
            <w:tcBorders>
              <w:top w:val="single" w:color="auto" w:sz="6" w:space="0"/>
              <w:left w:val="single" w:color="auto" w:sz="18" w:space="0"/>
              <w:bottom w:val="single" w:color="auto" w:sz="6" w:space="0"/>
              <w:right w:val="single" w:color="auto" w:sz="6" w:space="0"/>
            </w:tcBorders>
            <w:vAlign w:val="center"/>
          </w:tcPr>
          <w:p>
            <w:r>
              <w:rPr>
                <w:rFonts w:hint="eastAsia"/>
              </w:rPr>
              <w:t>输送面有效宽度(mm)</w:t>
            </w:r>
          </w:p>
        </w:tc>
        <w:tc>
          <w:tcPr>
            <w:tcW w:w="5134" w:type="dxa"/>
            <w:tcBorders>
              <w:top w:val="single" w:color="auto" w:sz="6" w:space="0"/>
              <w:left w:val="single" w:color="auto" w:sz="6" w:space="0"/>
              <w:bottom w:val="single" w:color="auto" w:sz="6" w:space="0"/>
              <w:right w:val="single" w:color="auto" w:sz="18" w:space="0"/>
            </w:tcBorders>
            <w:vAlign w:val="center"/>
          </w:tcPr>
          <w:p>
            <w:r>
              <w:rPr>
                <w:rFonts w:hint="eastAsia"/>
              </w:rPr>
              <w:t>1000</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jc w:val="center"/>
        </w:trPr>
        <w:tc>
          <w:tcPr>
            <w:tcW w:w="2492" w:type="dxa"/>
            <w:tcBorders>
              <w:top w:val="single" w:color="auto" w:sz="6" w:space="0"/>
              <w:left w:val="single" w:color="auto" w:sz="18" w:space="0"/>
              <w:bottom w:val="single" w:color="auto" w:sz="6" w:space="0"/>
              <w:right w:val="single" w:color="auto" w:sz="6" w:space="0"/>
            </w:tcBorders>
            <w:vAlign w:val="center"/>
          </w:tcPr>
          <w:p>
            <w:r>
              <w:rPr>
                <w:rFonts w:hint="eastAsia"/>
              </w:rPr>
              <w:t>输送面高度(mm)</w:t>
            </w:r>
          </w:p>
        </w:tc>
        <w:tc>
          <w:tcPr>
            <w:tcW w:w="5134" w:type="dxa"/>
            <w:tcBorders>
              <w:top w:val="single" w:color="auto" w:sz="6" w:space="0"/>
              <w:left w:val="single" w:color="auto" w:sz="6" w:space="0"/>
              <w:bottom w:val="single" w:color="auto" w:sz="6" w:space="0"/>
              <w:right w:val="single" w:color="auto" w:sz="18" w:space="0"/>
            </w:tcBorders>
            <w:vAlign w:val="center"/>
          </w:tcPr>
          <w:p>
            <w:r>
              <w:rPr>
                <w:rFonts w:hint="eastAsia"/>
              </w:rPr>
              <w:t>700-800可调</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jc w:val="center"/>
        </w:trPr>
        <w:tc>
          <w:tcPr>
            <w:tcW w:w="2492" w:type="dxa"/>
            <w:tcBorders>
              <w:top w:val="single" w:color="auto" w:sz="6" w:space="0"/>
              <w:left w:val="single" w:color="auto" w:sz="18" w:space="0"/>
              <w:bottom w:val="single" w:color="auto" w:sz="6" w:space="0"/>
              <w:right w:val="single" w:color="auto" w:sz="6" w:space="0"/>
            </w:tcBorders>
            <w:vAlign w:val="center"/>
          </w:tcPr>
          <w:p>
            <w:r>
              <w:rPr>
                <w:rFonts w:hint="eastAsia"/>
              </w:rPr>
              <w:t>搬运能力</w:t>
            </w:r>
          </w:p>
        </w:tc>
        <w:tc>
          <w:tcPr>
            <w:tcW w:w="5134" w:type="dxa"/>
            <w:tcBorders>
              <w:top w:val="single" w:color="auto" w:sz="6" w:space="0"/>
              <w:left w:val="single" w:color="auto" w:sz="6" w:space="0"/>
              <w:bottom w:val="single" w:color="auto" w:sz="6" w:space="0"/>
              <w:right w:val="single" w:color="auto" w:sz="18" w:space="0"/>
            </w:tcBorders>
            <w:vAlign w:val="center"/>
          </w:tcPr>
          <w:p>
            <w:r>
              <w:rPr>
                <w:rFonts w:hint="eastAsia"/>
              </w:rPr>
              <w:t>最大100kg/m</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jc w:val="center"/>
        </w:trPr>
        <w:tc>
          <w:tcPr>
            <w:tcW w:w="2492" w:type="dxa"/>
            <w:tcBorders>
              <w:top w:val="single" w:color="auto" w:sz="6" w:space="0"/>
              <w:left w:val="single" w:color="auto" w:sz="18" w:space="0"/>
              <w:bottom w:val="single" w:color="auto" w:sz="6" w:space="0"/>
              <w:right w:val="single" w:color="auto" w:sz="6" w:space="0"/>
            </w:tcBorders>
            <w:vAlign w:val="center"/>
          </w:tcPr>
          <w:p>
            <w:r>
              <w:rPr>
                <w:rFonts w:hint="eastAsia"/>
              </w:rPr>
              <w:t>输送速度</w:t>
            </w:r>
          </w:p>
        </w:tc>
        <w:tc>
          <w:tcPr>
            <w:tcW w:w="5134" w:type="dxa"/>
            <w:tcBorders>
              <w:top w:val="single" w:color="auto" w:sz="6" w:space="0"/>
              <w:left w:val="single" w:color="auto" w:sz="6" w:space="0"/>
              <w:bottom w:val="single" w:color="auto" w:sz="6" w:space="0"/>
              <w:right w:val="single" w:color="auto" w:sz="18" w:space="0"/>
            </w:tcBorders>
            <w:vAlign w:val="center"/>
          </w:tcPr>
          <w:p>
            <w:r>
              <w:rPr>
                <w:rFonts w:hint="eastAsia"/>
              </w:rPr>
              <w:t>0.2~ 0.6m/s</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jc w:val="center"/>
        </w:trPr>
        <w:tc>
          <w:tcPr>
            <w:tcW w:w="2492" w:type="dxa"/>
            <w:tcBorders>
              <w:top w:val="single" w:color="auto" w:sz="6" w:space="0"/>
              <w:left w:val="single" w:color="auto" w:sz="18" w:space="0"/>
              <w:bottom w:val="single" w:color="auto" w:sz="6" w:space="0"/>
              <w:right w:val="single" w:color="auto" w:sz="6" w:space="0"/>
            </w:tcBorders>
            <w:vAlign w:val="center"/>
          </w:tcPr>
          <w:p>
            <w:r>
              <w:rPr>
                <w:rFonts w:hint="eastAsia"/>
              </w:rPr>
              <w:t>噪音</w:t>
            </w:r>
          </w:p>
        </w:tc>
        <w:tc>
          <w:tcPr>
            <w:tcW w:w="5134" w:type="dxa"/>
            <w:tcBorders>
              <w:top w:val="single" w:color="auto" w:sz="6" w:space="0"/>
              <w:left w:val="single" w:color="auto" w:sz="6" w:space="0"/>
              <w:bottom w:val="single" w:color="auto" w:sz="6" w:space="0"/>
              <w:right w:val="single" w:color="auto" w:sz="18" w:space="0"/>
            </w:tcBorders>
            <w:vAlign w:val="center"/>
          </w:tcPr>
          <w:p>
            <w:r>
              <w:rPr>
                <w:rFonts w:hint="eastAsia"/>
              </w:rPr>
              <w:t>&lt;65db</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jc w:val="center"/>
        </w:trPr>
        <w:tc>
          <w:tcPr>
            <w:tcW w:w="7626" w:type="dxa"/>
            <w:gridSpan w:val="2"/>
            <w:tcBorders>
              <w:top w:val="single" w:color="auto" w:sz="6" w:space="0"/>
              <w:left w:val="single" w:color="auto" w:sz="18" w:space="0"/>
              <w:bottom w:val="single" w:color="auto" w:sz="6" w:space="0"/>
              <w:right w:val="single" w:color="auto" w:sz="18" w:space="0"/>
            </w:tcBorders>
            <w:shd w:val="clear" w:color="auto" w:fill="CCCCCC"/>
            <w:vAlign w:val="center"/>
          </w:tcPr>
          <w:p>
            <w:pPr>
              <w:jc w:val="center"/>
            </w:pPr>
            <w:r>
              <w:rPr>
                <w:rFonts w:hint="eastAsia"/>
              </w:rPr>
              <w:t>结构形式</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jc w:val="center"/>
        </w:trPr>
        <w:tc>
          <w:tcPr>
            <w:tcW w:w="2492" w:type="dxa"/>
            <w:tcBorders>
              <w:top w:val="single" w:color="auto" w:sz="6" w:space="0"/>
              <w:left w:val="single" w:color="auto" w:sz="18" w:space="0"/>
              <w:bottom w:val="single" w:color="auto" w:sz="6" w:space="0"/>
              <w:right w:val="single" w:color="auto" w:sz="6" w:space="0"/>
            </w:tcBorders>
            <w:vAlign w:val="center"/>
          </w:tcPr>
          <w:p>
            <w:r>
              <w:rPr>
                <w:rFonts w:hint="eastAsia"/>
              </w:rPr>
              <w:t>传动形式</w:t>
            </w:r>
          </w:p>
        </w:tc>
        <w:tc>
          <w:tcPr>
            <w:tcW w:w="5134" w:type="dxa"/>
            <w:tcBorders>
              <w:top w:val="single" w:color="auto" w:sz="6" w:space="0"/>
              <w:left w:val="single" w:color="auto" w:sz="6" w:space="0"/>
              <w:bottom w:val="single" w:color="auto" w:sz="6" w:space="0"/>
              <w:right w:val="single" w:color="auto" w:sz="18" w:space="0"/>
            </w:tcBorders>
            <w:vAlign w:val="center"/>
          </w:tcPr>
          <w:p>
            <w:r>
              <w:rPr>
                <w:rFonts w:hint="eastAsia" w:cs="宋体"/>
              </w:rPr>
              <w:t>电辊筒驱动多楔带</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jc w:val="center"/>
        </w:trPr>
        <w:tc>
          <w:tcPr>
            <w:tcW w:w="2492" w:type="dxa"/>
            <w:tcBorders>
              <w:top w:val="single" w:color="auto" w:sz="6" w:space="0"/>
              <w:left w:val="single" w:color="auto" w:sz="18" w:space="0"/>
              <w:bottom w:val="single" w:color="auto" w:sz="6" w:space="0"/>
              <w:right w:val="single" w:color="auto" w:sz="6" w:space="0"/>
            </w:tcBorders>
            <w:vAlign w:val="center"/>
          </w:tcPr>
          <w:p>
            <w:r>
              <w:rPr>
                <w:rFonts w:hint="eastAsia"/>
              </w:rPr>
              <w:t>电辊筒</w:t>
            </w:r>
          </w:p>
        </w:tc>
        <w:tc>
          <w:tcPr>
            <w:tcW w:w="5134" w:type="dxa"/>
            <w:tcBorders>
              <w:top w:val="single" w:color="auto" w:sz="6" w:space="0"/>
              <w:left w:val="single" w:color="auto" w:sz="6" w:space="0"/>
              <w:bottom w:val="single" w:color="auto" w:sz="6" w:space="0"/>
              <w:right w:val="single" w:color="auto" w:sz="18" w:space="0"/>
            </w:tcBorders>
            <w:vAlign w:val="center"/>
          </w:tc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jc w:val="center"/>
        </w:trPr>
        <w:tc>
          <w:tcPr>
            <w:tcW w:w="2492" w:type="dxa"/>
            <w:tcBorders>
              <w:top w:val="single" w:color="auto" w:sz="6" w:space="0"/>
              <w:left w:val="single" w:color="auto" w:sz="18" w:space="0"/>
              <w:bottom w:val="single" w:color="auto" w:sz="6" w:space="0"/>
              <w:right w:val="single" w:color="auto" w:sz="6" w:space="0"/>
            </w:tcBorders>
            <w:vAlign w:val="center"/>
          </w:tcPr>
          <w:p>
            <w:r>
              <w:rPr>
                <w:rFonts w:hint="eastAsia"/>
              </w:rPr>
              <w:t>多挈带</w:t>
            </w:r>
          </w:p>
        </w:tc>
        <w:tc>
          <w:tcPr>
            <w:tcW w:w="5134" w:type="dxa"/>
            <w:tcBorders>
              <w:top w:val="single" w:color="auto" w:sz="6" w:space="0"/>
              <w:left w:val="single" w:color="auto" w:sz="6" w:space="0"/>
              <w:bottom w:val="single" w:color="auto" w:sz="6" w:space="0"/>
              <w:right w:val="single" w:color="auto" w:sz="18" w:space="0"/>
            </w:tcBorders>
            <w:vAlign w:val="center"/>
          </w:tcPr>
          <w:p>
            <w:r>
              <w:rPr>
                <w:vanish/>
                <w:sz w:val="20"/>
                <w:szCs w:val="20"/>
              </w:rPr>
              <w:t>ORMANDYORMANDYORMANDY</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362" w:hRule="atLeast"/>
          <w:jc w:val="center"/>
        </w:trPr>
        <w:tc>
          <w:tcPr>
            <w:tcW w:w="2492" w:type="dxa"/>
            <w:tcBorders>
              <w:top w:val="single" w:color="auto" w:sz="6" w:space="0"/>
              <w:left w:val="single" w:color="auto" w:sz="18" w:space="0"/>
              <w:bottom w:val="single" w:color="auto" w:sz="6" w:space="0"/>
              <w:right w:val="single" w:color="auto" w:sz="6" w:space="0"/>
            </w:tcBorders>
            <w:vAlign w:val="center"/>
          </w:tcPr>
          <w:p>
            <w:r>
              <w:rPr>
                <w:rFonts w:hint="eastAsia"/>
              </w:rPr>
              <w:t>机架</w:t>
            </w:r>
          </w:p>
        </w:tc>
        <w:tc>
          <w:tcPr>
            <w:tcW w:w="5134" w:type="dxa"/>
            <w:tcBorders>
              <w:top w:val="single" w:color="auto" w:sz="6" w:space="0"/>
              <w:left w:val="single" w:color="auto" w:sz="6" w:space="0"/>
              <w:bottom w:val="single" w:color="auto" w:sz="6" w:space="0"/>
              <w:right w:val="single" w:color="auto" w:sz="18" w:space="0"/>
            </w:tcBorders>
            <w:vAlign w:val="center"/>
          </w:tcPr>
          <w:p>
            <w:r>
              <w:rPr>
                <w:rFonts w:hint="eastAsia"/>
              </w:rPr>
              <w:t>120*40*15*3型材，可调高度式杯脚</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jc w:val="center"/>
        </w:trPr>
        <w:tc>
          <w:tcPr>
            <w:tcW w:w="2492" w:type="dxa"/>
            <w:tcBorders>
              <w:top w:val="single" w:color="auto" w:sz="6" w:space="0"/>
              <w:left w:val="single" w:color="auto" w:sz="18" w:space="0"/>
              <w:bottom w:val="single" w:color="auto" w:sz="18" w:space="0"/>
              <w:right w:val="single" w:color="auto" w:sz="6" w:space="0"/>
            </w:tcBorders>
            <w:vAlign w:val="center"/>
          </w:tcPr>
          <w:p>
            <w:r>
              <w:rPr>
                <w:rFonts w:hint="eastAsia"/>
              </w:rPr>
              <w:t>护边</w:t>
            </w:r>
          </w:p>
        </w:tc>
        <w:tc>
          <w:tcPr>
            <w:tcW w:w="5134" w:type="dxa"/>
            <w:tcBorders>
              <w:top w:val="single" w:color="auto" w:sz="6" w:space="0"/>
              <w:left w:val="single" w:color="auto" w:sz="6" w:space="0"/>
              <w:bottom w:val="single" w:color="auto" w:sz="18" w:space="0"/>
              <w:right w:val="single" w:color="auto" w:sz="18" w:space="0"/>
            </w:tcBorders>
            <w:vAlign w:val="center"/>
          </w:tcPr>
          <w:p>
            <w:r>
              <w:rPr>
                <w:rFonts w:hint="eastAsia"/>
              </w:rPr>
              <w:t>150mm高,c型型材</w:t>
            </w:r>
          </w:p>
        </w:tc>
      </w:tr>
    </w:tbl>
    <w:p>
      <w:pPr>
        <w:spacing w:line="360" w:lineRule="auto"/>
        <w:ind w:left="840"/>
      </w:pPr>
    </w:p>
    <w:p>
      <w:pPr>
        <w:pStyle w:val="3"/>
        <w:numPr>
          <w:ilvl w:val="0"/>
          <w:numId w:val="0"/>
        </w:numPr>
        <w:ind w:left="180"/>
      </w:pPr>
      <w:bookmarkStart w:id="232" w:name="_Toc457880693"/>
      <w:bookmarkStart w:id="233" w:name="_Toc424999182"/>
      <w:bookmarkStart w:id="234" w:name="_Toc22500"/>
      <w:r>
        <w:rPr>
          <w:rFonts w:hint="eastAsia" w:ascii="宋体" w:hAnsi="宋体" w:eastAsia="宋体"/>
        </w:rPr>
        <w:t>皮带输送机</w:t>
      </w:r>
      <w:bookmarkEnd w:id="232"/>
      <w:bookmarkEnd w:id="233"/>
      <w:bookmarkEnd w:id="234"/>
    </w:p>
    <w:p>
      <w:pPr>
        <w:pStyle w:val="7"/>
        <w:spacing w:line="360" w:lineRule="auto"/>
        <w:ind w:left="480"/>
      </w:pPr>
      <w:r>
        <w:rPr>
          <w:rFonts w:hint="eastAsia"/>
        </w:rPr>
        <w:t>技术要求：</w:t>
      </w:r>
    </w:p>
    <w:p>
      <w:pPr>
        <w:pStyle w:val="20"/>
        <w:numPr>
          <w:ilvl w:val="0"/>
          <w:numId w:val="32"/>
        </w:numPr>
        <w:ind w:firstLineChars="0"/>
        <w:rPr>
          <w:rFonts w:ascii="宋体" w:hAnsi="宋体" w:eastAsia="宋体"/>
          <w:sz w:val="21"/>
          <w:szCs w:val="21"/>
        </w:rPr>
      </w:pPr>
      <w:r>
        <w:rPr>
          <w:rFonts w:hint="eastAsia" w:ascii="宋体" w:hAnsi="宋体" w:eastAsia="宋体"/>
          <w:sz w:val="21"/>
          <w:szCs w:val="21"/>
        </w:rPr>
        <w:t>整机噪音：≤65 dB。</w:t>
      </w:r>
    </w:p>
    <w:p>
      <w:pPr>
        <w:pStyle w:val="20"/>
        <w:numPr>
          <w:ilvl w:val="0"/>
          <w:numId w:val="32"/>
        </w:numPr>
        <w:ind w:firstLineChars="0"/>
        <w:rPr>
          <w:rFonts w:ascii="宋体" w:hAnsi="宋体" w:eastAsia="宋体"/>
          <w:sz w:val="21"/>
          <w:szCs w:val="21"/>
        </w:rPr>
      </w:pPr>
      <w:r>
        <w:rPr>
          <w:rFonts w:hint="eastAsia" w:ascii="宋体" w:hAnsi="宋体" w:eastAsia="宋体"/>
          <w:sz w:val="21"/>
          <w:szCs w:val="21"/>
        </w:rPr>
        <w:t>承载能力：150kg/m</w:t>
      </w:r>
    </w:p>
    <w:p>
      <w:pPr>
        <w:pStyle w:val="20"/>
        <w:numPr>
          <w:ilvl w:val="0"/>
          <w:numId w:val="32"/>
        </w:numPr>
        <w:ind w:firstLineChars="0"/>
        <w:rPr>
          <w:rFonts w:ascii="宋体" w:hAnsi="宋体" w:eastAsia="宋体"/>
          <w:sz w:val="21"/>
          <w:szCs w:val="21"/>
        </w:rPr>
      </w:pPr>
      <w:r>
        <w:rPr>
          <w:rFonts w:hint="eastAsia" w:ascii="宋体" w:hAnsi="宋体" w:eastAsia="宋体"/>
          <w:sz w:val="21"/>
          <w:szCs w:val="21"/>
        </w:rPr>
        <w:t>电机功率：0.37-1.5Kw</w:t>
      </w:r>
    </w:p>
    <w:p>
      <w:pPr>
        <w:numPr>
          <w:ilvl w:val="0"/>
          <w:numId w:val="32"/>
        </w:numPr>
        <w:spacing w:line="360" w:lineRule="auto"/>
      </w:pPr>
      <w:r>
        <w:rPr>
          <w:rFonts w:hint="eastAsia"/>
        </w:rPr>
        <w:t>皮带厚度：3mm，延伸率ε≤1％（拉力为12N/mm时）</w:t>
      </w:r>
    </w:p>
    <w:p>
      <w:pPr>
        <w:numPr>
          <w:ilvl w:val="0"/>
          <w:numId w:val="32"/>
        </w:numPr>
        <w:spacing w:line="360" w:lineRule="auto"/>
      </w:pPr>
      <w:r>
        <w:rPr>
          <w:rFonts w:hint="eastAsia"/>
        </w:rPr>
        <w:t>传送带应采用PVC面胶质或更好材料，具有阻燃和抗静电、无毒和防霉特性。</w:t>
      </w:r>
    </w:p>
    <w:p>
      <w:pPr>
        <w:numPr>
          <w:ilvl w:val="0"/>
          <w:numId w:val="32"/>
        </w:numPr>
        <w:spacing w:line="360" w:lineRule="auto"/>
      </w:pPr>
      <w:r>
        <w:rPr>
          <w:rFonts w:hint="eastAsia"/>
        </w:rPr>
        <w:t>外观及色彩美观大方，结构简单、合理、故障率低为免维护设备。</w:t>
      </w:r>
    </w:p>
    <w:p>
      <w:pPr>
        <w:numPr>
          <w:ilvl w:val="0"/>
          <w:numId w:val="32"/>
        </w:numPr>
        <w:spacing w:line="360" w:lineRule="auto"/>
      </w:pPr>
      <w:r>
        <w:rPr>
          <w:rFonts w:hint="eastAsia"/>
        </w:rPr>
        <w:t>输送平稳快速，设备配置性价比高。</w:t>
      </w:r>
    </w:p>
    <w:p>
      <w:pPr>
        <w:pStyle w:val="3"/>
        <w:numPr>
          <w:ilvl w:val="0"/>
          <w:numId w:val="0"/>
        </w:numPr>
        <w:ind w:left="180"/>
      </w:pPr>
      <w:bookmarkStart w:id="235" w:name="_Toc25268"/>
      <w:bookmarkStart w:id="236" w:name="_Toc457880694"/>
      <w:r>
        <w:rPr>
          <w:rFonts w:ascii="宋体" w:hAnsi="宋体" w:eastAsia="宋体"/>
        </w:rPr>
        <w:t>动态电子</w:t>
      </w:r>
      <w:r>
        <w:rPr>
          <w:rFonts w:ascii="宋体" w:hAnsi="宋体" w:eastAsia="宋体"/>
          <w:szCs w:val="21"/>
        </w:rPr>
        <w:t>秤</w:t>
      </w:r>
      <w:bookmarkEnd w:id="235"/>
      <w:bookmarkEnd w:id="236"/>
    </w:p>
    <w:p>
      <w:pPr>
        <w:pStyle w:val="7"/>
        <w:ind w:left="480"/>
        <w:rPr>
          <w:rFonts w:hint="eastAsia" w:ascii="lucida Grande" w:hAnsi="lucida Grande"/>
        </w:rPr>
      </w:pPr>
      <w:r>
        <w:rPr>
          <w:rFonts w:ascii="lucida Grande" w:hAnsi="lucida Grande"/>
        </w:rPr>
        <w:t>体积：长1200mm*宽1000mm*高700mm</w:t>
      </w:r>
    </w:p>
    <w:p>
      <w:pPr>
        <w:pStyle w:val="7"/>
        <w:ind w:left="480"/>
        <w:rPr>
          <w:rFonts w:hint="eastAsia" w:ascii="lucida Grande" w:hAnsi="lucida Grande"/>
        </w:rPr>
      </w:pPr>
      <w:r>
        <w:rPr>
          <w:rFonts w:ascii="lucida Grande" w:hAnsi="lucida Grande"/>
        </w:rPr>
        <w:t>速度：18米/分钟</w:t>
      </w:r>
    </w:p>
    <w:p>
      <w:pPr>
        <w:pStyle w:val="7"/>
        <w:ind w:left="480"/>
        <w:rPr>
          <w:rFonts w:hint="eastAsia" w:ascii="lucida Grande" w:hAnsi="lucida Grande"/>
        </w:rPr>
      </w:pPr>
      <w:r>
        <w:rPr>
          <w:rFonts w:ascii="lucida Grande" w:hAnsi="lucida Grande"/>
        </w:rPr>
        <w:t>计量范围0—100kg</w:t>
      </w:r>
    </w:p>
    <w:p>
      <w:pPr>
        <w:pStyle w:val="7"/>
        <w:ind w:left="480"/>
        <w:rPr>
          <w:rFonts w:hint="eastAsia" w:ascii="lucida Grande" w:hAnsi="lucida Grande"/>
        </w:rPr>
      </w:pPr>
      <w:r>
        <w:rPr>
          <w:rFonts w:ascii="lucida Grande" w:hAnsi="lucida Grande"/>
        </w:rPr>
        <w:t>计量精度：国家三级秤标准</w:t>
      </w:r>
    </w:p>
    <w:p>
      <w:pPr>
        <w:pStyle w:val="7"/>
        <w:ind w:left="480"/>
        <w:rPr>
          <w:rFonts w:hint="eastAsia" w:ascii="lucida Grande" w:hAnsi="lucida Grande"/>
        </w:rPr>
      </w:pPr>
      <w:r>
        <w:rPr>
          <w:rFonts w:ascii="lucida Grande" w:hAnsi="lucida Grande"/>
        </w:rPr>
        <w:t>最大承重100kg</w:t>
      </w:r>
    </w:p>
    <w:p>
      <w:pPr>
        <w:pStyle w:val="7"/>
        <w:ind w:left="480"/>
        <w:rPr>
          <w:kern w:val="0"/>
        </w:rPr>
      </w:pPr>
    </w:p>
    <w:p>
      <w:pPr>
        <w:pStyle w:val="3"/>
        <w:numPr>
          <w:ilvl w:val="0"/>
          <w:numId w:val="0"/>
        </w:numPr>
        <w:ind w:left="180"/>
      </w:pPr>
      <w:bookmarkStart w:id="237" w:name="_Toc23521"/>
      <w:bookmarkStart w:id="238" w:name="_Toc424999184"/>
      <w:bookmarkStart w:id="239" w:name="_Toc457880695"/>
      <w:r>
        <w:rPr>
          <w:rFonts w:hint="eastAsia" w:ascii="宋体" w:hAnsi="宋体" w:eastAsia="宋体"/>
        </w:rPr>
        <w:t>移载机</w:t>
      </w:r>
      <w:bookmarkEnd w:id="237"/>
      <w:bookmarkEnd w:id="238"/>
      <w:bookmarkEnd w:id="239"/>
    </w:p>
    <w:p>
      <w:pPr>
        <w:spacing w:after="120" w:afterLines="50" w:line="360" w:lineRule="auto"/>
        <w:ind w:firstLine="420"/>
        <w:sectPr>
          <w:pgSz w:w="11906" w:h="16838"/>
          <w:pgMar w:top="1440" w:right="1797" w:bottom="1440" w:left="1797" w:header="1246" w:footer="1220" w:gutter="0"/>
          <w:pgNumType w:fmt="decimal"/>
          <w:cols w:space="720" w:num="1"/>
          <w:docGrid w:linePitch="312" w:charSpace="0"/>
        </w:sectPr>
      </w:pPr>
      <w:r>
        <w:rPr>
          <w:rFonts w:hint="eastAsia"/>
        </w:rPr>
        <w:t>移载机是为常用的一种三向直角转弯分拣设备，由直行的皮带和90度方向的电动辊筒组成,安装于输送线体内部，根据流程的需要,通过系统的控制，对货物实现1个直行/2个90度转弯路线的分配，实现按照要求分拣的目的。</w:t>
      </w:r>
    </w:p>
    <w:p>
      <w:pPr>
        <w:spacing w:after="156" w:afterLines="50" w:line="360" w:lineRule="auto"/>
        <w:ind w:firstLine="420"/>
      </w:pPr>
    </w:p>
    <w:p>
      <w:pPr>
        <w:pStyle w:val="7"/>
        <w:spacing w:line="360" w:lineRule="auto"/>
        <w:ind w:left="480"/>
      </w:pPr>
      <w:r>
        <w:rPr>
          <w:rFonts w:hint="eastAsia"/>
        </w:rPr>
        <w:t>技术要求：</w:t>
      </w:r>
    </w:p>
    <w:p>
      <w:pPr>
        <w:numPr>
          <w:ilvl w:val="0"/>
          <w:numId w:val="33"/>
        </w:numPr>
        <w:spacing w:line="360" w:lineRule="auto"/>
      </w:pPr>
      <w:r>
        <w:rPr>
          <w:rFonts w:hint="eastAsia"/>
        </w:rPr>
        <w:t>定位精准，反应迅速。</w:t>
      </w:r>
    </w:p>
    <w:p>
      <w:pPr>
        <w:numPr>
          <w:ilvl w:val="0"/>
          <w:numId w:val="33"/>
        </w:numPr>
        <w:spacing w:line="360" w:lineRule="auto"/>
      </w:pPr>
      <w:r>
        <w:rPr>
          <w:rFonts w:hint="eastAsia"/>
        </w:rPr>
        <w:t>噪音低，平均噪音小于65db。</w:t>
      </w:r>
    </w:p>
    <w:p>
      <w:pPr>
        <w:numPr>
          <w:ilvl w:val="0"/>
          <w:numId w:val="33"/>
        </w:numPr>
        <w:spacing w:line="360" w:lineRule="auto"/>
      </w:pPr>
      <w:r>
        <w:rPr>
          <w:rFonts w:hint="eastAsia"/>
        </w:rPr>
        <w:t>外观及色彩美观大方，结构简单、合理。</w:t>
      </w:r>
    </w:p>
    <w:p>
      <w:pPr>
        <w:numPr>
          <w:ilvl w:val="0"/>
          <w:numId w:val="33"/>
        </w:numPr>
        <w:spacing w:line="360" w:lineRule="auto"/>
      </w:pPr>
      <w:r>
        <w:rPr>
          <w:rFonts w:hint="eastAsia"/>
        </w:rPr>
        <w:t>输送平稳快速。</w:t>
      </w:r>
    </w:p>
    <w:p>
      <w:pPr>
        <w:numPr>
          <w:ilvl w:val="0"/>
          <w:numId w:val="33"/>
        </w:numPr>
        <w:spacing w:line="360" w:lineRule="auto"/>
      </w:pPr>
      <w:r>
        <w:rPr>
          <w:rFonts w:hint="eastAsia"/>
        </w:rPr>
        <w:t>可较好的适应快件输送的多样性、特殊性。</w:t>
      </w:r>
    </w:p>
    <w:p>
      <w:pPr>
        <w:pStyle w:val="7"/>
        <w:adjustRightInd w:val="0"/>
        <w:ind w:left="480" w:firstLine="480"/>
        <w:rPr>
          <w:szCs w:val="24"/>
        </w:rPr>
      </w:pPr>
    </w:p>
    <w:tbl>
      <w:tblPr>
        <w:tblStyle w:val="12"/>
        <w:tblW w:w="7682" w:type="dxa"/>
        <w:tblInd w:w="648" w:type="dxa"/>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
      <w:tblGrid>
        <w:gridCol w:w="2295"/>
        <w:gridCol w:w="5387"/>
      </w:tblGrid>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c>
          <w:tcPr>
            <w:tcW w:w="7682" w:type="dxa"/>
            <w:gridSpan w:val="2"/>
            <w:tcBorders>
              <w:top w:val="single" w:color="auto" w:sz="18" w:space="0"/>
              <w:left w:val="single" w:color="auto" w:sz="18" w:space="0"/>
              <w:bottom w:val="single" w:color="auto" w:sz="6" w:space="0"/>
              <w:right w:val="single" w:color="auto" w:sz="18" w:space="0"/>
            </w:tcBorders>
            <w:shd w:val="clear" w:color="auto" w:fill="CCCCCC"/>
            <w:vAlign w:val="top"/>
          </w:tcPr>
          <w:p>
            <w:pPr>
              <w:jc w:val="center"/>
            </w:pPr>
            <w:r>
              <w:rPr>
                <w:rFonts w:hint="eastAsia"/>
              </w:rPr>
              <w:t>移载机技术参数</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2295" w:type="dxa"/>
            <w:tcBorders>
              <w:top w:val="single" w:color="auto" w:sz="6" w:space="0"/>
              <w:left w:val="single" w:color="auto" w:sz="18" w:space="0"/>
              <w:bottom w:val="single" w:color="auto" w:sz="6" w:space="0"/>
              <w:right w:val="single" w:color="auto" w:sz="6" w:space="0"/>
            </w:tcBorders>
            <w:vAlign w:val="top"/>
          </w:tcPr>
          <w:p>
            <w:r>
              <w:rPr>
                <w:rFonts w:hint="eastAsia"/>
              </w:rPr>
              <w:t>移载效率</w:t>
            </w:r>
          </w:p>
        </w:tc>
        <w:tc>
          <w:tcPr>
            <w:tcW w:w="5387" w:type="dxa"/>
            <w:tcBorders>
              <w:top w:val="single" w:color="auto" w:sz="6" w:space="0"/>
              <w:left w:val="single" w:color="auto" w:sz="6" w:space="0"/>
              <w:bottom w:val="single" w:color="auto" w:sz="6" w:space="0"/>
              <w:right w:val="single" w:color="auto" w:sz="18" w:space="0"/>
            </w:tcBorders>
            <w:vAlign w:val="top"/>
          </w:tcPr>
          <w:p>
            <w:r>
              <w:rPr>
                <w:rFonts w:hint="eastAsia"/>
              </w:rPr>
              <w:t>最大1000件/小时</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2295" w:type="dxa"/>
            <w:tcBorders>
              <w:top w:val="single" w:color="auto" w:sz="6" w:space="0"/>
              <w:left w:val="single" w:color="auto" w:sz="18" w:space="0"/>
              <w:bottom w:val="single" w:color="auto" w:sz="6" w:space="0"/>
              <w:right w:val="single" w:color="auto" w:sz="6" w:space="0"/>
            </w:tcBorders>
            <w:vAlign w:val="top"/>
          </w:tcPr>
          <w:p>
            <w:r>
              <w:rPr>
                <w:rFonts w:hint="eastAsia"/>
              </w:rPr>
              <w:t>最大负载</w:t>
            </w:r>
          </w:p>
        </w:tc>
        <w:tc>
          <w:tcPr>
            <w:tcW w:w="5387" w:type="dxa"/>
            <w:tcBorders>
              <w:top w:val="single" w:color="auto" w:sz="6" w:space="0"/>
              <w:left w:val="single" w:color="auto" w:sz="6" w:space="0"/>
              <w:bottom w:val="single" w:color="auto" w:sz="6" w:space="0"/>
              <w:right w:val="single" w:color="auto" w:sz="18" w:space="0"/>
            </w:tcBorders>
            <w:vAlign w:val="top"/>
          </w:tcPr>
          <w:p>
            <w:r>
              <w:rPr>
                <w:rFonts w:hint="eastAsia"/>
              </w:rPr>
              <w:t>100kg</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2295" w:type="dxa"/>
            <w:tcBorders>
              <w:top w:val="single" w:color="auto" w:sz="6" w:space="0"/>
              <w:left w:val="single" w:color="auto" w:sz="18" w:space="0"/>
              <w:bottom w:val="single" w:color="auto" w:sz="6" w:space="0"/>
              <w:right w:val="single" w:color="auto" w:sz="6" w:space="0"/>
            </w:tcBorders>
            <w:vAlign w:val="top"/>
          </w:tcPr>
          <w:p>
            <w:r>
              <w:rPr>
                <w:rFonts w:hint="eastAsia"/>
              </w:rPr>
              <w:t>分路角度</w:t>
            </w:r>
          </w:p>
        </w:tc>
        <w:tc>
          <w:tcPr>
            <w:tcW w:w="5387" w:type="dxa"/>
            <w:tcBorders>
              <w:top w:val="single" w:color="auto" w:sz="6" w:space="0"/>
              <w:left w:val="single" w:color="auto" w:sz="6" w:space="0"/>
              <w:bottom w:val="single" w:color="auto" w:sz="6" w:space="0"/>
              <w:right w:val="single" w:color="auto" w:sz="18" w:space="0"/>
            </w:tcBorders>
            <w:vAlign w:val="top"/>
          </w:tcPr>
          <w:p>
            <w:r>
              <w:rPr>
                <w:rFonts w:hint="eastAsia"/>
              </w:rPr>
              <w:t>90°</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2295" w:type="dxa"/>
            <w:tcBorders>
              <w:top w:val="single" w:color="auto" w:sz="6" w:space="0"/>
              <w:left w:val="single" w:color="auto" w:sz="18" w:space="0"/>
              <w:bottom w:val="single" w:color="auto" w:sz="6" w:space="0"/>
              <w:right w:val="single" w:color="auto" w:sz="6" w:space="0"/>
            </w:tcBorders>
            <w:vAlign w:val="top"/>
          </w:tcPr>
          <w:p>
            <w:r>
              <w:rPr>
                <w:rFonts w:hint="eastAsia"/>
              </w:rPr>
              <w:t>工作电压</w:t>
            </w:r>
          </w:p>
        </w:tc>
        <w:tc>
          <w:tcPr>
            <w:tcW w:w="5387" w:type="dxa"/>
            <w:tcBorders>
              <w:top w:val="single" w:color="auto" w:sz="6" w:space="0"/>
              <w:left w:val="single" w:color="auto" w:sz="6" w:space="0"/>
              <w:bottom w:val="single" w:color="auto" w:sz="6" w:space="0"/>
              <w:right w:val="single" w:color="auto" w:sz="18" w:space="0"/>
            </w:tcBorders>
            <w:vAlign w:val="top"/>
          </w:tcPr>
          <w:p>
            <w:r>
              <w:rPr>
                <w:rFonts w:hint="eastAsia"/>
              </w:rPr>
              <w:t>380V AC（+10%～-15%），50±3Hz</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2295" w:type="dxa"/>
            <w:tcBorders>
              <w:top w:val="single" w:color="auto" w:sz="6" w:space="0"/>
              <w:left w:val="single" w:color="auto" w:sz="18" w:space="0"/>
              <w:bottom w:val="single" w:color="auto" w:sz="6" w:space="0"/>
              <w:right w:val="single" w:color="auto" w:sz="6" w:space="0"/>
            </w:tcBorders>
            <w:vAlign w:val="top"/>
          </w:tcPr>
          <w:p>
            <w:r>
              <w:rPr>
                <w:rFonts w:hint="eastAsia"/>
              </w:rPr>
              <w:t>功耗</w:t>
            </w:r>
          </w:p>
        </w:tc>
        <w:tc>
          <w:tcPr>
            <w:tcW w:w="5387" w:type="dxa"/>
            <w:tcBorders>
              <w:top w:val="single" w:color="auto" w:sz="6" w:space="0"/>
              <w:left w:val="single" w:color="auto" w:sz="6" w:space="0"/>
              <w:bottom w:val="single" w:color="auto" w:sz="6" w:space="0"/>
              <w:right w:val="single" w:color="auto" w:sz="18" w:space="0"/>
            </w:tcBorders>
            <w:vAlign w:val="top"/>
          </w:tcPr>
          <w:p>
            <w:r>
              <w:rPr>
                <w:rFonts w:hint="eastAsia"/>
              </w:rPr>
              <w:t>750w</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2295" w:type="dxa"/>
            <w:tcBorders>
              <w:top w:val="single" w:color="auto" w:sz="6" w:space="0"/>
              <w:left w:val="single" w:color="auto" w:sz="18" w:space="0"/>
              <w:bottom w:val="single" w:color="auto" w:sz="6" w:space="0"/>
              <w:right w:val="single" w:color="auto" w:sz="6" w:space="0"/>
            </w:tcBorders>
            <w:vAlign w:val="top"/>
          </w:tcPr>
          <w:p>
            <w:r>
              <w:rPr>
                <w:rFonts w:hint="eastAsia"/>
              </w:rPr>
              <w:t>噪声级</w:t>
            </w:r>
          </w:p>
        </w:tc>
        <w:tc>
          <w:tcPr>
            <w:tcW w:w="5387" w:type="dxa"/>
            <w:tcBorders>
              <w:top w:val="single" w:color="auto" w:sz="6" w:space="0"/>
              <w:left w:val="single" w:color="auto" w:sz="6" w:space="0"/>
              <w:bottom w:val="single" w:color="auto" w:sz="6" w:space="0"/>
              <w:right w:val="single" w:color="auto" w:sz="18" w:space="0"/>
            </w:tcBorders>
            <w:vAlign w:val="top"/>
          </w:tcPr>
          <w:p>
            <w:r>
              <w:rPr>
                <w:rFonts w:hint="eastAsia"/>
              </w:rPr>
              <w:t>&lt;65db</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7682" w:type="dxa"/>
            <w:gridSpan w:val="2"/>
            <w:tcBorders>
              <w:top w:val="single" w:color="auto" w:sz="6" w:space="0"/>
              <w:left w:val="single" w:color="auto" w:sz="18" w:space="0"/>
              <w:bottom w:val="single" w:color="auto" w:sz="6" w:space="0"/>
              <w:right w:val="single" w:color="auto" w:sz="18" w:space="0"/>
            </w:tcBorders>
            <w:shd w:val="clear" w:color="auto" w:fill="CCCCCC"/>
            <w:vAlign w:val="top"/>
          </w:tcPr>
          <w:p>
            <w:pPr>
              <w:jc w:val="center"/>
            </w:pPr>
            <w:r>
              <w:rPr>
                <w:rFonts w:hint="eastAsia"/>
              </w:rPr>
              <w:t>结构形式</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2295" w:type="dxa"/>
            <w:tcBorders>
              <w:top w:val="single" w:color="auto" w:sz="6" w:space="0"/>
              <w:left w:val="single" w:color="auto" w:sz="18" w:space="0"/>
              <w:bottom w:val="single" w:color="auto" w:sz="6" w:space="0"/>
              <w:right w:val="single" w:color="auto" w:sz="6" w:space="0"/>
            </w:tcBorders>
            <w:vAlign w:val="top"/>
          </w:tcPr>
          <w:p>
            <w:r>
              <w:rPr>
                <w:rFonts w:hint="eastAsia"/>
              </w:rPr>
              <w:t>主向传动形式</w:t>
            </w:r>
          </w:p>
        </w:tc>
        <w:tc>
          <w:tcPr>
            <w:tcW w:w="5387" w:type="dxa"/>
            <w:tcBorders>
              <w:top w:val="single" w:color="auto" w:sz="6" w:space="0"/>
              <w:left w:val="single" w:color="auto" w:sz="6" w:space="0"/>
              <w:bottom w:val="single" w:color="auto" w:sz="6" w:space="0"/>
              <w:right w:val="single" w:color="auto" w:sz="18" w:space="0"/>
            </w:tcBorders>
            <w:vAlign w:val="top"/>
          </w:tcPr>
          <w:p>
            <w:r>
              <w:rPr>
                <w:rFonts w:hint="eastAsia"/>
              </w:rPr>
              <w:t>窄型皮带传动</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2295" w:type="dxa"/>
            <w:tcBorders>
              <w:top w:val="single" w:color="auto" w:sz="6" w:space="0"/>
              <w:left w:val="single" w:color="auto" w:sz="18" w:space="0"/>
              <w:bottom w:val="single" w:color="auto" w:sz="6" w:space="0"/>
              <w:right w:val="single" w:color="auto" w:sz="6" w:space="0"/>
            </w:tcBorders>
            <w:vAlign w:val="top"/>
          </w:tcPr>
          <w:p>
            <w:r>
              <w:rPr>
                <w:rFonts w:hint="eastAsia"/>
              </w:rPr>
              <w:t>移载传动形式</w:t>
            </w:r>
          </w:p>
        </w:tc>
        <w:tc>
          <w:tcPr>
            <w:tcW w:w="5387" w:type="dxa"/>
            <w:tcBorders>
              <w:top w:val="single" w:color="auto" w:sz="6" w:space="0"/>
              <w:left w:val="single" w:color="auto" w:sz="6" w:space="0"/>
              <w:bottom w:val="single" w:color="auto" w:sz="6" w:space="0"/>
              <w:right w:val="single" w:color="auto" w:sz="18" w:space="0"/>
            </w:tcBorders>
            <w:vAlign w:val="top"/>
          </w:tcPr>
          <w:p>
            <w:r>
              <w:rPr>
                <w:rFonts w:hint="eastAsia"/>
              </w:rPr>
              <w:t>O带辊筒传动</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2295" w:type="dxa"/>
            <w:tcBorders>
              <w:top w:val="single" w:color="auto" w:sz="6" w:space="0"/>
              <w:left w:val="single" w:color="auto" w:sz="18" w:space="0"/>
              <w:bottom w:val="single" w:color="auto" w:sz="6" w:space="0"/>
              <w:right w:val="single" w:color="auto" w:sz="6" w:space="0"/>
            </w:tcBorders>
            <w:vAlign w:val="top"/>
          </w:tcPr>
          <w:p>
            <w:r>
              <w:rPr>
                <w:rFonts w:hint="eastAsia"/>
              </w:rPr>
              <w:t>顶升方式</w:t>
            </w:r>
          </w:p>
        </w:tc>
        <w:tc>
          <w:tcPr>
            <w:tcW w:w="5387" w:type="dxa"/>
            <w:tcBorders>
              <w:top w:val="single" w:color="auto" w:sz="6" w:space="0"/>
              <w:left w:val="single" w:color="auto" w:sz="6" w:space="0"/>
              <w:bottom w:val="single" w:color="auto" w:sz="6" w:space="0"/>
              <w:right w:val="single" w:color="auto" w:sz="18" w:space="0"/>
            </w:tcBorders>
            <w:vAlign w:val="top"/>
          </w:tcPr>
          <w:p>
            <w:r>
              <w:rPr>
                <w:rFonts w:hint="eastAsia"/>
              </w:rPr>
              <w:t>凸轮+顶升块</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2295" w:type="dxa"/>
            <w:tcBorders>
              <w:top w:val="single" w:color="auto" w:sz="6" w:space="0"/>
              <w:left w:val="single" w:color="auto" w:sz="18" w:space="0"/>
              <w:bottom w:val="single" w:color="auto" w:sz="6" w:space="0"/>
              <w:right w:val="single" w:color="auto" w:sz="6" w:space="0"/>
            </w:tcBorders>
            <w:vAlign w:val="top"/>
          </w:tcPr>
          <w:p>
            <w:r>
              <w:rPr>
                <w:rFonts w:hint="eastAsia"/>
              </w:rPr>
              <w:t>单条皮带宽度</w:t>
            </w:r>
          </w:p>
        </w:tc>
        <w:tc>
          <w:tcPr>
            <w:tcW w:w="5387" w:type="dxa"/>
            <w:tcBorders>
              <w:top w:val="single" w:color="auto" w:sz="6" w:space="0"/>
              <w:left w:val="single" w:color="auto" w:sz="6" w:space="0"/>
              <w:bottom w:val="single" w:color="auto" w:sz="6" w:space="0"/>
              <w:right w:val="single" w:color="auto" w:sz="18" w:space="0"/>
            </w:tcBorders>
            <w:vAlign w:val="top"/>
          </w:tcPr>
          <w:p>
            <w:r>
              <w:rPr>
                <w:rFonts w:hint="eastAsia"/>
              </w:rPr>
              <w:t>40mm</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2295" w:type="dxa"/>
            <w:tcBorders>
              <w:top w:val="single" w:color="auto" w:sz="6" w:space="0"/>
              <w:left w:val="single" w:color="auto" w:sz="18" w:space="0"/>
              <w:bottom w:val="single" w:color="auto" w:sz="6" w:space="0"/>
              <w:right w:val="single" w:color="auto" w:sz="6" w:space="0"/>
            </w:tcBorders>
            <w:vAlign w:val="top"/>
          </w:tcPr>
          <w:p>
            <w:r>
              <w:rPr>
                <w:rFonts w:hint="eastAsia"/>
              </w:rPr>
              <w:t>O带品牌</w:t>
            </w:r>
          </w:p>
        </w:tc>
        <w:tc>
          <w:tcPr>
            <w:tcW w:w="5387" w:type="dxa"/>
            <w:tcBorders>
              <w:top w:val="single" w:color="auto" w:sz="6" w:space="0"/>
              <w:left w:val="single" w:color="auto" w:sz="6" w:space="0"/>
              <w:bottom w:val="single" w:color="auto" w:sz="6" w:space="0"/>
              <w:right w:val="single" w:color="auto" w:sz="18" w:space="0"/>
            </w:tcBorders>
            <w:vAlign w:val="top"/>
          </w:tc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2295" w:type="dxa"/>
            <w:tcBorders>
              <w:top w:val="single" w:color="auto" w:sz="6" w:space="0"/>
              <w:left w:val="single" w:color="auto" w:sz="18" w:space="0"/>
              <w:bottom w:val="single" w:color="auto" w:sz="6" w:space="0"/>
              <w:right w:val="single" w:color="auto" w:sz="6" w:space="0"/>
            </w:tcBorders>
            <w:vAlign w:val="top"/>
          </w:tcPr>
          <w:p>
            <w:r>
              <w:rPr>
                <w:rFonts w:hint="eastAsia"/>
              </w:rPr>
              <w:t>马达</w:t>
            </w:r>
          </w:p>
        </w:tc>
        <w:tc>
          <w:tcPr>
            <w:tcW w:w="5387" w:type="dxa"/>
            <w:tcBorders>
              <w:top w:val="single" w:color="auto" w:sz="6" w:space="0"/>
              <w:left w:val="single" w:color="auto" w:sz="6" w:space="0"/>
              <w:bottom w:val="single" w:color="auto" w:sz="6" w:space="0"/>
              <w:right w:val="single" w:color="auto" w:sz="18" w:space="0"/>
            </w:tcBorders>
            <w:vAlign w:val="top"/>
          </w:tc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2295" w:type="dxa"/>
            <w:tcBorders>
              <w:top w:val="single" w:color="auto" w:sz="6" w:space="0"/>
              <w:left w:val="single" w:color="auto" w:sz="18" w:space="0"/>
              <w:bottom w:val="single" w:color="auto" w:sz="6" w:space="0"/>
              <w:right w:val="single" w:color="auto" w:sz="6" w:space="0"/>
            </w:tcBorders>
            <w:vAlign w:val="top"/>
          </w:tcPr>
          <w:p>
            <w:r>
              <w:rPr>
                <w:rFonts w:hint="eastAsia"/>
              </w:rPr>
              <w:t>皮带</w:t>
            </w:r>
          </w:p>
        </w:tc>
        <w:tc>
          <w:tcPr>
            <w:tcW w:w="5387" w:type="dxa"/>
            <w:tcBorders>
              <w:top w:val="single" w:color="auto" w:sz="6" w:space="0"/>
              <w:left w:val="single" w:color="auto" w:sz="6" w:space="0"/>
              <w:bottom w:val="single" w:color="auto" w:sz="6" w:space="0"/>
              <w:right w:val="single" w:color="auto" w:sz="18" w:space="0"/>
            </w:tcBorders>
            <w:vAlign w:val="top"/>
          </w:tc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2295" w:type="dxa"/>
            <w:tcBorders>
              <w:top w:val="single" w:color="auto" w:sz="6" w:space="0"/>
              <w:left w:val="single" w:color="auto" w:sz="18" w:space="0"/>
              <w:bottom w:val="single" w:color="auto" w:sz="6" w:space="0"/>
              <w:right w:val="single" w:color="auto" w:sz="6" w:space="0"/>
            </w:tcBorders>
            <w:vAlign w:val="top"/>
          </w:tcPr>
          <w:p>
            <w:r>
              <w:rPr>
                <w:rFonts w:hint="eastAsia"/>
              </w:rPr>
              <w:t>检测元件</w:t>
            </w:r>
          </w:p>
        </w:tc>
        <w:tc>
          <w:tcPr>
            <w:tcW w:w="5387" w:type="dxa"/>
            <w:tcBorders>
              <w:top w:val="single" w:color="auto" w:sz="6" w:space="0"/>
              <w:left w:val="single" w:color="auto" w:sz="6" w:space="0"/>
              <w:bottom w:val="single" w:color="auto" w:sz="6" w:space="0"/>
              <w:right w:val="single" w:color="auto" w:sz="18" w:space="0"/>
            </w:tcBorders>
            <w:vAlign w:val="top"/>
          </w:tcP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2295" w:type="dxa"/>
            <w:tcBorders>
              <w:top w:val="single" w:color="auto" w:sz="6" w:space="0"/>
              <w:left w:val="single" w:color="auto" w:sz="18" w:space="0"/>
              <w:bottom w:val="single" w:color="auto" w:sz="6" w:space="0"/>
              <w:right w:val="single" w:color="auto" w:sz="6" w:space="0"/>
            </w:tcBorders>
            <w:vAlign w:val="top"/>
          </w:tcPr>
          <w:p>
            <w:r>
              <w:rPr>
                <w:rFonts w:hint="eastAsia"/>
              </w:rPr>
              <w:t>机架</w:t>
            </w:r>
          </w:p>
        </w:tc>
        <w:tc>
          <w:tcPr>
            <w:tcW w:w="5387" w:type="dxa"/>
            <w:tcBorders>
              <w:top w:val="single" w:color="auto" w:sz="6" w:space="0"/>
              <w:left w:val="single" w:color="auto" w:sz="6" w:space="0"/>
              <w:bottom w:val="single" w:color="auto" w:sz="6" w:space="0"/>
              <w:right w:val="single" w:color="auto" w:sz="18" w:space="0"/>
            </w:tcBorders>
            <w:vAlign w:val="top"/>
          </w:tcPr>
          <w:p>
            <w:r>
              <w:rPr>
                <w:rFonts w:hint="eastAsia"/>
              </w:rPr>
              <w:t>120*40*15*3型材，可调高度式杯脚</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2295" w:type="dxa"/>
            <w:tcBorders>
              <w:top w:val="single" w:color="auto" w:sz="6" w:space="0"/>
              <w:left w:val="single" w:color="auto" w:sz="18" w:space="0"/>
              <w:bottom w:val="single" w:color="auto" w:sz="6" w:space="0"/>
              <w:right w:val="single" w:color="auto" w:sz="6" w:space="0"/>
            </w:tcBorders>
            <w:vAlign w:val="top"/>
          </w:tcPr>
          <w:p>
            <w:r>
              <w:rPr>
                <w:rFonts w:hint="eastAsia"/>
              </w:rPr>
              <w:t>辊筒</w:t>
            </w:r>
          </w:p>
        </w:tc>
        <w:tc>
          <w:tcPr>
            <w:tcW w:w="5387" w:type="dxa"/>
            <w:tcBorders>
              <w:top w:val="single" w:color="auto" w:sz="6" w:space="0"/>
              <w:left w:val="single" w:color="auto" w:sz="6" w:space="0"/>
              <w:bottom w:val="single" w:color="auto" w:sz="6" w:space="0"/>
              <w:right w:val="single" w:color="auto" w:sz="18" w:space="0"/>
            </w:tcBorders>
            <w:vAlign w:val="top"/>
          </w:tcPr>
          <w:p>
            <w:r>
              <w:rPr>
                <w:rFonts w:hint="eastAsia"/>
              </w:rPr>
              <w:t>50直径带带辊筒</w:t>
            </w:r>
          </w:p>
        </w:tc>
      </w:tr>
      <w:tr>
        <w:tblPrEx>
          <w:tblBorders>
            <w:top w:val="single" w:color="auto" w:sz="18" w:space="0"/>
            <w:left w:val="single" w:color="auto" w:sz="18" w:space="0"/>
            <w:bottom w:val="single" w:color="auto" w:sz="18" w:space="0"/>
            <w:right w:val="single" w:color="auto" w:sz="18" w:space="0"/>
            <w:insideH w:val="single" w:color="auto" w:sz="6" w:space="0"/>
            <w:insideV w:val="single" w:color="auto" w:sz="6" w:space="0"/>
          </w:tblBorders>
          <w:tblLayout w:type="fixed"/>
          <w:tblCellMar>
            <w:top w:w="0" w:type="dxa"/>
            <w:left w:w="108" w:type="dxa"/>
            <w:bottom w:w="0" w:type="dxa"/>
            <w:right w:w="108" w:type="dxa"/>
          </w:tblCellMar>
        </w:tblPrEx>
        <w:trPr>
          <w:trHeight w:val="284" w:hRule="atLeast"/>
        </w:trPr>
        <w:tc>
          <w:tcPr>
            <w:tcW w:w="2295" w:type="dxa"/>
            <w:tcBorders>
              <w:top w:val="single" w:color="auto" w:sz="6" w:space="0"/>
              <w:left w:val="single" w:color="auto" w:sz="18" w:space="0"/>
              <w:bottom w:val="single" w:color="auto" w:sz="18" w:space="0"/>
              <w:right w:val="single" w:color="auto" w:sz="6" w:space="0"/>
            </w:tcBorders>
            <w:vAlign w:val="top"/>
          </w:tcPr>
          <w:p>
            <w:r>
              <w:rPr>
                <w:rFonts w:hint="eastAsia"/>
              </w:rPr>
              <w:t>驱动辊筒形式</w:t>
            </w:r>
          </w:p>
        </w:tc>
        <w:tc>
          <w:tcPr>
            <w:tcW w:w="5387" w:type="dxa"/>
            <w:tcBorders>
              <w:top w:val="single" w:color="auto" w:sz="6" w:space="0"/>
              <w:left w:val="single" w:color="auto" w:sz="6" w:space="0"/>
              <w:bottom w:val="single" w:color="auto" w:sz="18" w:space="0"/>
              <w:right w:val="single" w:color="auto" w:sz="18" w:space="0"/>
            </w:tcBorders>
            <w:vAlign w:val="top"/>
          </w:tcPr>
          <w:p>
            <w:r>
              <w:rPr>
                <w:rFonts w:hint="eastAsia"/>
              </w:rPr>
              <w:t>带多圆弧槽辊筒</w:t>
            </w:r>
          </w:p>
        </w:tc>
      </w:tr>
    </w:tbl>
    <w:p>
      <w:pPr>
        <w:pStyle w:val="3"/>
        <w:numPr>
          <w:ilvl w:val="0"/>
          <w:numId w:val="0"/>
        </w:numPr>
        <w:ind w:left="180"/>
      </w:pPr>
      <w:bookmarkStart w:id="240" w:name="_Toc457880696"/>
      <w:bookmarkStart w:id="241" w:name="_Toc424999186"/>
      <w:bookmarkStart w:id="242" w:name="_Toc15727"/>
      <w:r>
        <w:rPr>
          <w:rFonts w:hint="eastAsia" w:ascii="宋体" w:hAnsi="宋体" w:eastAsia="宋体"/>
        </w:rPr>
        <w:t>控制系统主控</w:t>
      </w:r>
      <w:r>
        <w:rPr>
          <w:rFonts w:hint="eastAsia"/>
        </w:rPr>
        <w:t>PLC及拓展模块设备</w:t>
      </w:r>
      <w:bookmarkEnd w:id="240"/>
      <w:bookmarkEnd w:id="241"/>
      <w:bookmarkEnd w:id="242"/>
    </w:p>
    <w:p>
      <w:pPr>
        <w:spacing w:line="360" w:lineRule="auto"/>
        <w:ind w:firstLine="420" w:firstLineChars="200"/>
      </w:pPr>
      <w:r>
        <w:rPr>
          <w:rFonts w:hint="eastAsia"/>
        </w:rPr>
        <w:t>可以定制开发PLC自动化控制软件，能满足查验系统所有电器的控制功能。</w:t>
      </w:r>
    </w:p>
    <w:p>
      <w:pPr>
        <w:spacing w:line="360" w:lineRule="auto"/>
        <w:ind w:firstLine="420" w:firstLineChars="200"/>
      </w:pPr>
      <w:r>
        <w:rPr>
          <w:rFonts w:hint="eastAsia"/>
        </w:rPr>
        <w:t>内存容量：不小于256K 字节。</w:t>
      </w:r>
    </w:p>
    <w:p>
      <w:pPr>
        <w:spacing w:line="360" w:lineRule="auto"/>
        <w:ind w:firstLine="420" w:firstLineChars="200"/>
      </w:pPr>
      <w:r>
        <w:rPr>
          <w:rFonts w:hint="eastAsia"/>
        </w:rPr>
        <w:t xml:space="preserve">用户程序存储器类型：EEPROM </w:t>
      </w:r>
    </w:p>
    <w:p>
      <w:pPr>
        <w:spacing w:line="360" w:lineRule="auto"/>
        <w:ind w:firstLine="420" w:firstLineChars="200"/>
      </w:pPr>
      <w:r>
        <w:rPr>
          <w:rFonts w:hint="eastAsia"/>
        </w:rPr>
        <w:t>CPU 执行时间：位操作小于0.06μs/。</w:t>
      </w:r>
    </w:p>
    <w:p>
      <w:pPr>
        <w:pStyle w:val="3"/>
        <w:numPr>
          <w:ilvl w:val="0"/>
          <w:numId w:val="0"/>
        </w:numPr>
        <w:ind w:left="180"/>
      </w:pPr>
      <w:bookmarkStart w:id="243" w:name="_Toc9139"/>
      <w:bookmarkStart w:id="244" w:name="_Toc457880697"/>
      <w:bookmarkStart w:id="245" w:name="_Toc424999187"/>
      <w:r>
        <w:rPr>
          <w:rFonts w:hint="eastAsia" w:ascii="宋体" w:hAnsi="宋体" w:eastAsia="宋体"/>
        </w:rPr>
        <w:t>电气控制柜</w:t>
      </w:r>
      <w:bookmarkEnd w:id="243"/>
      <w:bookmarkEnd w:id="244"/>
      <w:bookmarkEnd w:id="245"/>
    </w:p>
    <w:p>
      <w:pPr>
        <w:spacing w:line="360" w:lineRule="auto"/>
        <w:ind w:left="1" w:firstLine="570"/>
      </w:pPr>
      <w:r>
        <w:rPr>
          <w:rFonts w:hint="eastAsia"/>
        </w:rPr>
        <w:t>系统配置1套电气柜和控制柜，为查验分拣输送线、X-光机和计算机网络系统提供380VAC、220VAC、24VAC电源。</w:t>
      </w:r>
    </w:p>
    <w:p>
      <w:pPr>
        <w:spacing w:line="360" w:lineRule="auto"/>
        <w:ind w:left="1" w:firstLine="570"/>
      </w:pPr>
      <w:r>
        <w:rPr>
          <w:rFonts w:hint="eastAsia"/>
        </w:rPr>
        <w:t>电气、控制柜根据安全适度配电容量分配原则，选用进口低压电器和动力电缆，设计多路供配电系统。</w:t>
      </w:r>
    </w:p>
    <w:p>
      <w:pPr>
        <w:pStyle w:val="3"/>
        <w:numPr>
          <w:ilvl w:val="0"/>
          <w:numId w:val="0"/>
        </w:numPr>
        <w:ind w:left="180"/>
      </w:pPr>
      <w:bookmarkStart w:id="246" w:name="_Toc424999188"/>
      <w:bookmarkStart w:id="247" w:name="_Toc14740"/>
      <w:bookmarkStart w:id="248" w:name="_Toc457880698"/>
      <w:r>
        <w:rPr>
          <w:rFonts w:hint="eastAsia" w:ascii="宋体" w:hAnsi="宋体" w:eastAsia="宋体"/>
        </w:rPr>
        <w:t>条码扫描器</w:t>
      </w:r>
      <w:bookmarkEnd w:id="246"/>
      <w:bookmarkEnd w:id="247"/>
      <w:bookmarkEnd w:id="248"/>
    </w:p>
    <w:p>
      <w:pPr>
        <w:spacing w:line="360" w:lineRule="auto"/>
        <w:ind w:left="1" w:firstLine="470" w:firstLineChars="224"/>
      </w:pPr>
      <w:r>
        <w:rPr>
          <w:rFonts w:hint="eastAsia"/>
        </w:rPr>
        <w:t>条码扫描器用来识读快件上的条码信息，并以此作为检索EDI数据库的依据，条码阅读的准确性、有效性对于保证监管系统的高效率有着十分重要的作用。在本控制系统中，选用手持式、工业用无线条码扫描器，</w:t>
      </w:r>
      <w:r>
        <w:rPr>
          <w:rFonts w:ascii="lucida Grande" w:hAnsi="lucida Grande"/>
        </w:rPr>
        <w:t>USB接口/串口；支持无线扫描</w:t>
      </w:r>
      <w:r>
        <w:rPr>
          <w:rFonts w:hint="eastAsia" w:ascii="lucida Grande" w:hAnsi="lucida Grande"/>
        </w:rPr>
        <w:t>、</w:t>
      </w:r>
      <w:r>
        <w:rPr>
          <w:rFonts w:ascii="lucida Grande" w:hAnsi="lucida Grande"/>
        </w:rPr>
        <w:t>红光扫描；快速回弹按键；符合人体工学设计</w:t>
      </w:r>
      <w:r>
        <w:rPr>
          <w:rFonts w:hint="eastAsia" w:ascii="lucida Grande" w:hAnsi="lucida Grande"/>
        </w:rPr>
        <w:t>。</w:t>
      </w:r>
      <w:r>
        <w:rPr>
          <w:rFonts w:hint="eastAsia"/>
        </w:rPr>
        <w:t>具有识别率高，防护等级高，耐使用等优点。</w:t>
      </w:r>
    </w:p>
    <w:p>
      <w:pPr>
        <w:spacing w:line="360" w:lineRule="auto"/>
        <w:ind w:left="1" w:firstLine="470" w:firstLineChars="224"/>
      </w:pPr>
      <w:r>
        <w:rPr>
          <w:rFonts w:hint="eastAsia"/>
        </w:rPr>
        <w:t>系统可通过软件,将扫描的条码,按照各不同快递公司的编码规则, 处理后得到分运单号。</w:t>
      </w:r>
    </w:p>
    <w:p>
      <w:pPr>
        <w:pStyle w:val="3"/>
        <w:numPr>
          <w:ilvl w:val="0"/>
          <w:numId w:val="0"/>
        </w:numPr>
        <w:ind w:left="180"/>
      </w:pPr>
      <w:bookmarkStart w:id="249" w:name="_Toc424999189"/>
      <w:bookmarkStart w:id="250" w:name="_Toc457880699"/>
      <w:bookmarkStart w:id="251" w:name="_Toc8601"/>
      <w:r>
        <w:rPr>
          <w:rFonts w:hint="eastAsia" w:ascii="宋体" w:hAnsi="宋体" w:eastAsia="宋体"/>
        </w:rPr>
        <w:t>告警装置</w:t>
      </w:r>
      <w:bookmarkEnd w:id="249"/>
      <w:bookmarkEnd w:id="250"/>
      <w:bookmarkEnd w:id="251"/>
    </w:p>
    <w:p>
      <w:pPr>
        <w:spacing w:line="360" w:lineRule="auto"/>
        <w:ind w:left="1" w:firstLine="470" w:firstLineChars="224"/>
      </w:pPr>
      <w:r>
        <w:rPr>
          <w:rFonts w:hint="eastAsia"/>
        </w:rPr>
        <w:t>每条监管输送线上分别安装有声光告警装置。一旦设备启动或某设备有故障。相应的告警装置将自动发出声光告警信号，提示操作人员排除故障。</w:t>
      </w:r>
    </w:p>
    <w:p>
      <w:pPr>
        <w:spacing w:line="360" w:lineRule="auto"/>
        <w:jc w:val="center"/>
      </w:pPr>
    </w:p>
    <w:p>
      <w:pPr>
        <w:pStyle w:val="3"/>
        <w:numPr>
          <w:ilvl w:val="0"/>
          <w:numId w:val="0"/>
        </w:numPr>
        <w:ind w:left="180"/>
      </w:pPr>
      <w:bookmarkStart w:id="252" w:name="_Toc424999190"/>
      <w:bookmarkStart w:id="253" w:name="_Toc457880700"/>
      <w:bookmarkStart w:id="254" w:name="_Toc8575"/>
      <w:r>
        <w:rPr>
          <w:rFonts w:hint="eastAsia" w:ascii="宋体" w:hAnsi="宋体" w:eastAsia="宋体"/>
        </w:rPr>
        <w:t>光电传感器</w:t>
      </w:r>
      <w:bookmarkEnd w:id="252"/>
      <w:bookmarkEnd w:id="253"/>
      <w:bookmarkEnd w:id="254"/>
    </w:p>
    <w:p>
      <w:pPr>
        <w:spacing w:line="360" w:lineRule="auto"/>
        <w:ind w:left="-105" w:leftChars="-50" w:firstLine="392" w:firstLineChars="187"/>
      </w:pPr>
      <w:r>
        <w:rPr>
          <w:rFonts w:hint="eastAsia"/>
        </w:rPr>
        <w:t>本系统中使用了一定量的光电传感器，用于检测输送线上物流的运行信息。在本系统中设计使用工业级产品，性价比较好。</w:t>
      </w:r>
    </w:p>
    <w:p>
      <w:pPr>
        <w:pStyle w:val="3"/>
        <w:numPr>
          <w:ilvl w:val="0"/>
          <w:numId w:val="0"/>
        </w:numPr>
        <w:ind w:left="180"/>
        <w:rPr>
          <w:rFonts w:ascii="宋体" w:hAnsi="宋体" w:eastAsia="宋体"/>
        </w:rPr>
      </w:pPr>
      <w:bookmarkStart w:id="255" w:name="_Toc6938"/>
      <w:bookmarkStart w:id="256" w:name="_Toc262227966"/>
      <w:bookmarkStart w:id="257" w:name="_Toc304945674"/>
      <w:bookmarkStart w:id="258" w:name="_Toc424999195"/>
      <w:bookmarkStart w:id="259" w:name="_Toc457880701"/>
      <w:r>
        <w:rPr>
          <w:rFonts w:hint="eastAsia" w:ascii="宋体" w:hAnsi="宋体" w:eastAsia="宋体"/>
        </w:rPr>
        <w:t>系统供配电要求</w:t>
      </w:r>
      <w:bookmarkEnd w:id="255"/>
      <w:bookmarkEnd w:id="256"/>
      <w:bookmarkEnd w:id="257"/>
      <w:bookmarkEnd w:id="258"/>
      <w:bookmarkEnd w:id="259"/>
    </w:p>
    <w:p>
      <w:pPr>
        <w:pStyle w:val="3"/>
        <w:numPr>
          <w:ilvl w:val="0"/>
          <w:numId w:val="0"/>
        </w:numPr>
        <w:ind w:left="180"/>
      </w:pPr>
      <w:bookmarkStart w:id="260" w:name="_Toc7892"/>
      <w:bookmarkStart w:id="261" w:name="_Toc262227967"/>
      <w:bookmarkStart w:id="262" w:name="_Toc424999196"/>
      <w:bookmarkStart w:id="263" w:name="_Toc304945675"/>
      <w:bookmarkStart w:id="264" w:name="_Toc457880702"/>
      <w:r>
        <w:rPr>
          <w:rFonts w:hint="eastAsia" w:ascii="宋体" w:hAnsi="宋体" w:eastAsia="宋体"/>
        </w:rPr>
        <w:t>系统设备用电装设功率</w:t>
      </w:r>
      <w:bookmarkEnd w:id="260"/>
      <w:bookmarkEnd w:id="261"/>
      <w:bookmarkEnd w:id="262"/>
      <w:bookmarkEnd w:id="263"/>
      <w:bookmarkEnd w:id="264"/>
    </w:p>
    <w:p>
      <w:pPr>
        <w:spacing w:line="360" w:lineRule="auto"/>
        <w:ind w:left="1" w:firstLine="419"/>
      </w:pPr>
      <w:r>
        <w:rPr>
          <w:rFonts w:hint="eastAsia"/>
        </w:rPr>
        <w:t>本系统考虑系统扩容、库区处理系统及控制设备同时用电的可能，装设功率为20KW。</w:t>
      </w:r>
    </w:p>
    <w:p>
      <w:pPr>
        <w:pStyle w:val="3"/>
        <w:numPr>
          <w:ilvl w:val="0"/>
          <w:numId w:val="0"/>
        </w:numPr>
        <w:ind w:left="180"/>
        <w:rPr>
          <w:sz w:val="28"/>
        </w:rPr>
      </w:pPr>
      <w:bookmarkStart w:id="265" w:name="_Toc424999197"/>
      <w:bookmarkStart w:id="266" w:name="_Toc262227968"/>
      <w:bookmarkStart w:id="267" w:name="_Toc304945676"/>
      <w:bookmarkStart w:id="268" w:name="_Toc457880703"/>
      <w:bookmarkStart w:id="269" w:name="_Toc27829"/>
      <w:r>
        <w:rPr>
          <w:rFonts w:hint="eastAsia" w:ascii="宋体" w:hAnsi="宋体" w:eastAsia="宋体"/>
        </w:rPr>
        <w:t>配电方式</w:t>
      </w:r>
      <w:bookmarkEnd w:id="265"/>
      <w:bookmarkEnd w:id="266"/>
      <w:bookmarkEnd w:id="267"/>
      <w:bookmarkEnd w:id="268"/>
      <w:bookmarkEnd w:id="269"/>
    </w:p>
    <w:p>
      <w:pPr>
        <w:pStyle w:val="3"/>
        <w:numPr>
          <w:ilvl w:val="0"/>
          <w:numId w:val="0"/>
        </w:numPr>
        <w:ind w:left="180"/>
        <w:rPr>
          <w:rFonts w:ascii="宋体" w:hAnsi="宋体"/>
        </w:rPr>
      </w:pPr>
      <w:bookmarkStart w:id="270" w:name="_Toc200168459"/>
      <w:bookmarkStart w:id="271" w:name="_Toc262227969"/>
      <w:bookmarkStart w:id="272" w:name="_Toc304945677"/>
      <w:r>
        <w:rPr>
          <w:rFonts w:hint="eastAsia" w:ascii="宋体" w:hAnsi="宋体" w:eastAsia="宋体"/>
        </w:rPr>
        <w:t>动力用电</w:t>
      </w:r>
      <w:bookmarkEnd w:id="270"/>
      <w:bookmarkEnd w:id="271"/>
      <w:bookmarkEnd w:id="272"/>
    </w:p>
    <w:p>
      <w:pPr>
        <w:spacing w:line="360" w:lineRule="auto"/>
        <w:ind w:firstLine="420" w:firstLineChars="200"/>
      </w:pPr>
      <w:r>
        <w:rPr>
          <w:rFonts w:hint="eastAsia"/>
        </w:rPr>
        <w:t>本系统用电负荷等级为特别重要负荷，低压配电380V三相五线制。配电方式为从变压后的低压配电屏中引线至系统设备配电柜，再由系统设备配电柜送至各输送设备和分拣系统。此电源应由土建单位敷设到位。</w:t>
      </w:r>
    </w:p>
    <w:p>
      <w:pPr>
        <w:pStyle w:val="3"/>
        <w:numPr>
          <w:ilvl w:val="0"/>
          <w:numId w:val="0"/>
        </w:numPr>
        <w:ind w:left="180"/>
        <w:rPr>
          <w:rFonts w:ascii="宋体" w:hAnsi="宋体"/>
        </w:rPr>
      </w:pPr>
      <w:bookmarkStart w:id="273" w:name="_Toc304945678"/>
      <w:bookmarkStart w:id="274" w:name="_Toc262227970"/>
      <w:r>
        <w:rPr>
          <w:rFonts w:hint="eastAsia" w:ascii="宋体" w:hAnsi="宋体" w:eastAsia="宋体"/>
        </w:rPr>
        <w:t>机房用电</w:t>
      </w:r>
      <w:bookmarkEnd w:id="273"/>
      <w:bookmarkEnd w:id="274"/>
    </w:p>
    <w:p>
      <w:pPr>
        <w:spacing w:line="360" w:lineRule="auto"/>
        <w:ind w:left="1" w:firstLine="419"/>
      </w:pPr>
      <w:r>
        <w:rPr>
          <w:rFonts w:hint="eastAsia"/>
        </w:rPr>
        <w:t>计算机房内用220V电源应由变压器单独敷线供电，功率负荷约为3KW。机房内设置专用地线，按规范接地电阻≤1Ω。此电源由土建敷设到位。</w:t>
      </w:r>
    </w:p>
    <w:p>
      <w:pPr>
        <w:pStyle w:val="3"/>
        <w:numPr>
          <w:ilvl w:val="0"/>
          <w:numId w:val="0"/>
        </w:numPr>
        <w:ind w:left="180"/>
        <w:rPr>
          <w:rFonts w:ascii="宋体" w:hAnsi="宋体"/>
          <w:szCs w:val="24"/>
        </w:rPr>
      </w:pPr>
      <w:bookmarkStart w:id="275" w:name="_Toc262227971"/>
      <w:bookmarkStart w:id="276" w:name="_Toc304945679"/>
      <w:r>
        <w:rPr>
          <w:rFonts w:hint="eastAsia" w:ascii="宋体" w:hAnsi="宋体" w:eastAsia="宋体"/>
        </w:rPr>
        <w:t>照明</w:t>
      </w:r>
      <w:bookmarkEnd w:id="275"/>
      <w:bookmarkEnd w:id="276"/>
    </w:p>
    <w:p>
      <w:pPr>
        <w:spacing w:line="360" w:lineRule="auto"/>
        <w:ind w:left="1" w:firstLine="419"/>
      </w:pPr>
      <w:r>
        <w:rPr>
          <w:rFonts w:hint="eastAsia"/>
        </w:rPr>
        <w:t>室内照明等级可按土建施工设计指标为基础，需增加数量待详细设计后定。</w:t>
      </w:r>
    </w:p>
    <w:p>
      <w:pPr>
        <w:pStyle w:val="3"/>
        <w:numPr>
          <w:ilvl w:val="0"/>
          <w:numId w:val="0"/>
        </w:numPr>
        <w:ind w:left="180"/>
        <w:rPr>
          <w:rFonts w:ascii="宋体" w:hAnsi="宋体"/>
        </w:rPr>
      </w:pPr>
      <w:bookmarkStart w:id="277" w:name="_Toc262227972"/>
      <w:bookmarkStart w:id="278" w:name="_Toc304945680"/>
      <w:r>
        <w:rPr>
          <w:rFonts w:hint="eastAsia" w:ascii="宋体" w:hAnsi="宋体" w:eastAsia="宋体"/>
        </w:rPr>
        <w:t>接地</w:t>
      </w:r>
      <w:bookmarkEnd w:id="277"/>
      <w:bookmarkEnd w:id="278"/>
    </w:p>
    <w:p>
      <w:pPr>
        <w:spacing w:line="360" w:lineRule="auto"/>
        <w:ind w:left="1" w:firstLine="419"/>
        <w:rPr>
          <w:rFonts w:hint="eastAsia"/>
        </w:rPr>
      </w:pPr>
      <w:r>
        <w:rPr>
          <w:rFonts w:hint="eastAsia"/>
        </w:rPr>
        <w:t>线体设备应有良好的接地，除运行皮带选有防静电性能外，设备与地的接地电阻应&lt; 4Ω</w:t>
      </w:r>
    </w:p>
    <w:p>
      <w:pPr>
        <w:spacing w:line="360" w:lineRule="auto"/>
        <w:ind w:left="1" w:firstLine="419"/>
        <w:rPr>
          <w:rFonts w:hint="eastAsia"/>
        </w:rPr>
      </w:pPr>
    </w:p>
    <w:p>
      <w:pPr>
        <w:spacing w:line="360" w:lineRule="auto"/>
        <w:rPr>
          <w:rFonts w:hint="eastAsia"/>
        </w:rPr>
      </w:pPr>
      <w:r>
        <w:drawing>
          <wp:inline distT="0" distB="0" distL="114300" distR="114300">
            <wp:extent cx="6297295" cy="4329430"/>
            <wp:effectExtent l="0" t="0" r="8255" b="13970"/>
            <wp:docPr id="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2"/>
                    <pic:cNvPicPr>
                      <a:picLocks noChangeAspect="1"/>
                    </pic:cNvPicPr>
                  </pic:nvPicPr>
                  <pic:blipFill>
                    <a:blip r:embed="rId29"/>
                    <a:stretch>
                      <a:fillRect/>
                    </a:stretch>
                  </pic:blipFill>
                  <pic:spPr>
                    <a:xfrm>
                      <a:off x="0" y="0"/>
                      <a:ext cx="6297295" cy="4329430"/>
                    </a:xfrm>
                    <a:prstGeom prst="rect">
                      <a:avLst/>
                    </a:prstGeom>
                    <a:noFill/>
                    <a:ln w="9525">
                      <a:noFill/>
                    </a:ln>
                  </pic:spPr>
                </pic:pic>
              </a:graphicData>
            </a:graphic>
          </wp:inline>
        </w:drawing>
      </w:r>
    </w:p>
    <w:p>
      <w:pPr>
        <w:spacing w:line="360" w:lineRule="auto"/>
        <w:rPr>
          <w:rFonts w:hint="eastAsia"/>
        </w:rPr>
      </w:pPr>
    </w:p>
    <w:p>
      <w:pPr>
        <w:spacing w:line="360" w:lineRule="auto"/>
        <w:rPr>
          <w:rFonts w:hint="eastAsia"/>
        </w:rPr>
      </w:pPr>
    </w:p>
    <w:p>
      <w:pPr>
        <w:pStyle w:val="2"/>
        <w:numPr>
          <w:ilvl w:val="0"/>
          <w:numId w:val="0"/>
        </w:numPr>
        <w:ind w:left="288"/>
        <w:jc w:val="center"/>
        <w:rPr>
          <w:rFonts w:hint="eastAsia"/>
          <w:sz w:val="36"/>
          <w:szCs w:val="36"/>
        </w:rPr>
      </w:pPr>
      <w:r>
        <w:rPr>
          <w:rFonts w:hint="eastAsia"/>
          <w:sz w:val="36"/>
          <w:szCs w:val="36"/>
        </w:rPr>
        <w:t>采购总体清单</w:t>
      </w:r>
    </w:p>
    <w:p>
      <w:pPr>
        <w:rPr>
          <w:rFonts w:hint="eastAsia"/>
        </w:rPr>
      </w:pPr>
    </w:p>
    <w:tbl>
      <w:tblPr>
        <w:tblStyle w:val="12"/>
        <w:tblpPr w:leftFromText="180" w:rightFromText="180" w:vertAnchor="text" w:horzAnchor="page" w:tblpXSpec="center" w:tblpY="314"/>
        <w:tblOverlap w:val="never"/>
        <w:tblW w:w="8495" w:type="dxa"/>
        <w:jc w:val="center"/>
        <w:tblInd w:w="0" w:type="dxa"/>
        <w:tblLayout w:type="fixed"/>
        <w:tblCellMar>
          <w:top w:w="0" w:type="dxa"/>
          <w:left w:w="108" w:type="dxa"/>
          <w:bottom w:w="0" w:type="dxa"/>
          <w:right w:w="108" w:type="dxa"/>
        </w:tblCellMar>
      </w:tblPr>
      <w:tblGrid>
        <w:gridCol w:w="698"/>
        <w:gridCol w:w="1429"/>
        <w:gridCol w:w="2743"/>
        <w:gridCol w:w="1509"/>
        <w:gridCol w:w="1418"/>
        <w:gridCol w:w="698"/>
      </w:tblGrid>
      <w:tr>
        <w:tblPrEx>
          <w:tblLayout w:type="fixed"/>
          <w:tblCellMar>
            <w:top w:w="0" w:type="dxa"/>
            <w:left w:w="108" w:type="dxa"/>
            <w:bottom w:w="0" w:type="dxa"/>
            <w:right w:w="108" w:type="dxa"/>
          </w:tblCellMar>
        </w:tblPrEx>
        <w:trPr>
          <w:trHeight w:val="570" w:hRule="atLeast"/>
          <w:jc w:val="center"/>
        </w:trPr>
        <w:tc>
          <w:tcPr>
            <w:tcW w:w="698" w:type="dxa"/>
            <w:tcBorders>
              <w:top w:val="single" w:color="auto" w:sz="4" w:space="0"/>
              <w:left w:val="single" w:color="auto" w:sz="4" w:space="0"/>
              <w:bottom w:val="single" w:color="auto" w:sz="4" w:space="0"/>
              <w:right w:val="single" w:color="auto" w:sz="4" w:space="0"/>
            </w:tcBorders>
            <w:shd w:val="clear" w:color="000000" w:fill="D9D9D9"/>
            <w:vAlign w:val="center"/>
          </w:tcPr>
          <w:p>
            <w:pPr>
              <w:widowControl/>
              <w:rPr>
                <w:rFonts w:cs="宋体"/>
                <w:b/>
                <w:bCs/>
                <w:kern w:val="0"/>
              </w:rPr>
            </w:pPr>
            <w:r>
              <w:rPr>
                <w:rFonts w:hint="eastAsia" w:cs="宋体"/>
                <w:b/>
                <w:bCs/>
                <w:kern w:val="0"/>
              </w:rPr>
              <w:t>序号</w:t>
            </w:r>
          </w:p>
        </w:tc>
        <w:tc>
          <w:tcPr>
            <w:tcW w:w="4172" w:type="dxa"/>
            <w:gridSpan w:val="2"/>
            <w:tcBorders>
              <w:top w:val="single" w:color="auto" w:sz="4" w:space="0"/>
              <w:left w:val="nil"/>
              <w:bottom w:val="single" w:color="auto" w:sz="4" w:space="0"/>
              <w:right w:val="single" w:color="000000" w:sz="4" w:space="0"/>
            </w:tcBorders>
            <w:shd w:val="clear" w:color="000000" w:fill="D9D9D9"/>
            <w:vAlign w:val="center"/>
          </w:tcPr>
          <w:p>
            <w:pPr>
              <w:widowControl/>
              <w:jc w:val="center"/>
              <w:rPr>
                <w:rFonts w:cs="宋体"/>
                <w:b/>
                <w:bCs/>
                <w:kern w:val="0"/>
              </w:rPr>
            </w:pPr>
            <w:r>
              <w:rPr>
                <w:rFonts w:hint="eastAsia" w:cs="宋体"/>
                <w:b/>
                <w:bCs/>
                <w:kern w:val="0"/>
              </w:rPr>
              <w:t>项目</w:t>
            </w:r>
          </w:p>
        </w:tc>
        <w:tc>
          <w:tcPr>
            <w:tcW w:w="1509" w:type="dxa"/>
            <w:tcBorders>
              <w:top w:val="single" w:color="auto" w:sz="4" w:space="0"/>
              <w:left w:val="nil"/>
              <w:bottom w:val="single" w:color="auto" w:sz="4" w:space="0"/>
              <w:right w:val="single" w:color="auto" w:sz="4" w:space="0"/>
            </w:tcBorders>
            <w:shd w:val="clear" w:color="000000" w:fill="D9D9D9"/>
            <w:vAlign w:val="center"/>
          </w:tcPr>
          <w:p>
            <w:pPr>
              <w:widowControl/>
              <w:jc w:val="center"/>
              <w:rPr>
                <w:rFonts w:cs="宋体"/>
                <w:b/>
                <w:bCs/>
                <w:kern w:val="0"/>
              </w:rPr>
            </w:pPr>
            <w:r>
              <w:rPr>
                <w:rFonts w:hint="eastAsia" w:cs="宋体"/>
                <w:b/>
                <w:bCs/>
                <w:kern w:val="0"/>
              </w:rPr>
              <w:t>数量</w:t>
            </w:r>
          </w:p>
        </w:tc>
        <w:tc>
          <w:tcPr>
            <w:tcW w:w="1418" w:type="dxa"/>
            <w:tcBorders>
              <w:top w:val="single" w:color="auto" w:sz="4" w:space="0"/>
              <w:left w:val="nil"/>
              <w:bottom w:val="single" w:color="auto" w:sz="4" w:space="0"/>
              <w:right w:val="single" w:color="auto" w:sz="4" w:space="0"/>
            </w:tcBorders>
            <w:shd w:val="clear" w:color="000000" w:fill="D9D9D9"/>
            <w:vAlign w:val="center"/>
          </w:tcPr>
          <w:p>
            <w:pPr>
              <w:widowControl/>
              <w:jc w:val="center"/>
              <w:rPr>
                <w:rFonts w:cs="宋体"/>
                <w:b/>
                <w:bCs/>
                <w:kern w:val="0"/>
              </w:rPr>
            </w:pPr>
            <w:r>
              <w:rPr>
                <w:rFonts w:hint="eastAsia" w:cs="宋体"/>
                <w:b/>
                <w:bCs/>
                <w:kern w:val="0"/>
              </w:rPr>
              <w:t>单位</w:t>
            </w:r>
          </w:p>
        </w:tc>
        <w:tc>
          <w:tcPr>
            <w:tcW w:w="698" w:type="dxa"/>
            <w:tcBorders>
              <w:top w:val="single" w:color="auto" w:sz="4" w:space="0"/>
              <w:left w:val="nil"/>
              <w:bottom w:val="single" w:color="auto" w:sz="4" w:space="0"/>
              <w:right w:val="single" w:color="auto" w:sz="4" w:space="0"/>
            </w:tcBorders>
            <w:shd w:val="clear" w:color="000000" w:fill="D9D9D9"/>
            <w:vAlign w:val="center"/>
          </w:tcPr>
          <w:p>
            <w:pPr>
              <w:widowControl/>
              <w:jc w:val="center"/>
              <w:rPr>
                <w:rFonts w:cs="宋体"/>
                <w:b/>
                <w:bCs/>
                <w:kern w:val="0"/>
              </w:rPr>
            </w:pPr>
            <w:r>
              <w:rPr>
                <w:rFonts w:hint="eastAsia" w:cs="宋体"/>
                <w:b/>
                <w:bCs/>
                <w:kern w:val="0"/>
              </w:rPr>
              <w:t>备注</w:t>
            </w:r>
          </w:p>
        </w:tc>
      </w:tr>
      <w:tr>
        <w:tblPrEx>
          <w:tblLayout w:type="fixed"/>
          <w:tblCellMar>
            <w:top w:w="0" w:type="dxa"/>
            <w:left w:w="108" w:type="dxa"/>
            <w:bottom w:w="0" w:type="dxa"/>
            <w:right w:w="108" w:type="dxa"/>
          </w:tblCellMar>
        </w:tblPrEx>
        <w:trPr>
          <w:trHeight w:val="285" w:hRule="atLeast"/>
          <w:jc w:val="center"/>
        </w:trPr>
        <w:tc>
          <w:tcPr>
            <w:tcW w:w="698" w:type="dxa"/>
            <w:tcBorders>
              <w:top w:val="nil"/>
              <w:left w:val="single" w:color="auto" w:sz="4" w:space="0"/>
              <w:bottom w:val="single" w:color="auto" w:sz="4" w:space="0"/>
              <w:right w:val="single" w:color="auto" w:sz="4" w:space="0"/>
            </w:tcBorders>
            <w:vAlign w:val="center"/>
          </w:tcPr>
          <w:p>
            <w:pPr>
              <w:widowControl/>
              <w:jc w:val="center"/>
              <w:rPr>
                <w:rFonts w:cs="宋体"/>
                <w:kern w:val="0"/>
                <w:sz w:val="22"/>
                <w:szCs w:val="22"/>
              </w:rPr>
            </w:pPr>
            <w:r>
              <w:rPr>
                <w:rFonts w:hint="eastAsia" w:cs="宋体"/>
                <w:kern w:val="0"/>
                <w:sz w:val="22"/>
                <w:szCs w:val="22"/>
              </w:rPr>
              <w:t>1</w:t>
            </w:r>
          </w:p>
        </w:tc>
        <w:tc>
          <w:tcPr>
            <w:tcW w:w="1429" w:type="dxa"/>
            <w:vMerge w:val="restart"/>
            <w:tcBorders>
              <w:top w:val="nil"/>
              <w:left w:val="single" w:color="auto" w:sz="4" w:space="0"/>
              <w:bottom w:val="single" w:color="000000" w:sz="4" w:space="0"/>
              <w:right w:val="single" w:color="auto" w:sz="4" w:space="0"/>
            </w:tcBorders>
            <w:vAlign w:val="center"/>
          </w:tcPr>
          <w:p>
            <w:pPr>
              <w:widowControl/>
              <w:jc w:val="left"/>
              <w:rPr>
                <w:rFonts w:cs="宋体"/>
                <w:kern w:val="0"/>
                <w:sz w:val="22"/>
                <w:szCs w:val="22"/>
              </w:rPr>
            </w:pPr>
            <w:r>
              <w:rPr>
                <w:rFonts w:hint="eastAsia" w:cs="宋体"/>
                <w:kern w:val="0"/>
                <w:sz w:val="22"/>
                <w:szCs w:val="22"/>
              </w:rPr>
              <w:t>软件系统</w:t>
            </w:r>
          </w:p>
        </w:tc>
        <w:tc>
          <w:tcPr>
            <w:tcW w:w="2743" w:type="dxa"/>
            <w:tcBorders>
              <w:top w:val="nil"/>
              <w:left w:val="nil"/>
              <w:bottom w:val="single" w:color="auto" w:sz="4" w:space="0"/>
              <w:right w:val="single" w:color="auto" w:sz="4" w:space="0"/>
            </w:tcBorders>
            <w:vAlign w:val="center"/>
          </w:tcPr>
          <w:p>
            <w:pPr>
              <w:widowControl/>
              <w:jc w:val="left"/>
              <w:rPr>
                <w:rFonts w:cs="宋体"/>
                <w:kern w:val="0"/>
                <w:sz w:val="22"/>
                <w:szCs w:val="22"/>
              </w:rPr>
            </w:pPr>
            <w:r>
              <w:rPr>
                <w:rFonts w:hint="eastAsia" w:cs="宋体"/>
                <w:kern w:val="0"/>
                <w:sz w:val="22"/>
                <w:szCs w:val="22"/>
              </w:rPr>
              <w:t>通关一体化申报系统</w:t>
            </w:r>
          </w:p>
        </w:tc>
        <w:tc>
          <w:tcPr>
            <w:tcW w:w="1509" w:type="dxa"/>
            <w:tcBorders>
              <w:top w:val="nil"/>
              <w:left w:val="nil"/>
              <w:bottom w:val="single" w:color="auto" w:sz="4" w:space="0"/>
              <w:right w:val="single" w:color="auto" w:sz="4" w:space="0"/>
            </w:tcBorders>
            <w:vAlign w:val="center"/>
          </w:tcPr>
          <w:p>
            <w:pPr>
              <w:widowControl/>
              <w:jc w:val="center"/>
              <w:rPr>
                <w:rFonts w:cs="宋体"/>
                <w:kern w:val="0"/>
                <w:sz w:val="22"/>
                <w:szCs w:val="22"/>
              </w:rPr>
            </w:pPr>
            <w:r>
              <w:rPr>
                <w:rFonts w:hint="eastAsia" w:cs="宋体"/>
                <w:kern w:val="0"/>
                <w:sz w:val="22"/>
                <w:szCs w:val="22"/>
              </w:rPr>
              <w:t>1</w:t>
            </w:r>
          </w:p>
        </w:tc>
        <w:tc>
          <w:tcPr>
            <w:tcW w:w="1418" w:type="dxa"/>
            <w:tcBorders>
              <w:top w:val="nil"/>
              <w:left w:val="nil"/>
              <w:bottom w:val="single" w:color="auto" w:sz="4" w:space="0"/>
              <w:right w:val="single" w:color="auto" w:sz="4" w:space="0"/>
            </w:tcBorders>
            <w:vAlign w:val="center"/>
          </w:tcPr>
          <w:p>
            <w:pPr>
              <w:widowControl/>
              <w:jc w:val="center"/>
              <w:rPr>
                <w:rFonts w:cs="宋体"/>
                <w:kern w:val="0"/>
                <w:sz w:val="22"/>
                <w:szCs w:val="22"/>
              </w:rPr>
            </w:pPr>
            <w:r>
              <w:rPr>
                <w:rFonts w:hint="eastAsia" w:cs="宋体"/>
                <w:kern w:val="0"/>
                <w:sz w:val="22"/>
                <w:szCs w:val="22"/>
              </w:rPr>
              <w:t>套</w:t>
            </w:r>
          </w:p>
        </w:tc>
        <w:tc>
          <w:tcPr>
            <w:tcW w:w="698" w:type="dxa"/>
            <w:tcBorders>
              <w:top w:val="nil"/>
              <w:left w:val="nil"/>
              <w:bottom w:val="single" w:color="auto" w:sz="4" w:space="0"/>
              <w:right w:val="single" w:color="auto" w:sz="4" w:space="0"/>
            </w:tcBorders>
            <w:vAlign w:val="center"/>
          </w:tcPr>
          <w:p>
            <w:pPr>
              <w:widowControl/>
              <w:jc w:val="left"/>
              <w:rPr>
                <w:rFonts w:cs="宋体"/>
                <w:kern w:val="0"/>
                <w:sz w:val="22"/>
                <w:szCs w:val="22"/>
              </w:rPr>
            </w:pPr>
            <w:r>
              <w:rPr>
                <w:rFonts w:hint="eastAsia" w:cs="宋体"/>
                <w:kern w:val="0"/>
                <w:sz w:val="22"/>
                <w:szCs w:val="22"/>
              </w:rPr>
              <w:t>　</w:t>
            </w:r>
          </w:p>
        </w:tc>
      </w:tr>
      <w:tr>
        <w:tblPrEx>
          <w:tblLayout w:type="fixed"/>
          <w:tblCellMar>
            <w:top w:w="0" w:type="dxa"/>
            <w:left w:w="108" w:type="dxa"/>
            <w:bottom w:w="0" w:type="dxa"/>
            <w:right w:w="108" w:type="dxa"/>
          </w:tblCellMar>
        </w:tblPrEx>
        <w:trPr>
          <w:trHeight w:val="285" w:hRule="atLeast"/>
          <w:jc w:val="center"/>
        </w:trPr>
        <w:tc>
          <w:tcPr>
            <w:tcW w:w="698" w:type="dxa"/>
            <w:tcBorders>
              <w:top w:val="nil"/>
              <w:left w:val="single" w:color="auto" w:sz="4" w:space="0"/>
              <w:bottom w:val="single" w:color="auto" w:sz="4" w:space="0"/>
              <w:right w:val="single" w:color="auto" w:sz="4" w:space="0"/>
            </w:tcBorders>
            <w:vAlign w:val="center"/>
          </w:tcPr>
          <w:p>
            <w:pPr>
              <w:widowControl/>
              <w:jc w:val="center"/>
              <w:rPr>
                <w:rFonts w:cs="宋体"/>
                <w:kern w:val="0"/>
                <w:sz w:val="22"/>
                <w:szCs w:val="22"/>
              </w:rPr>
            </w:pPr>
            <w:r>
              <w:rPr>
                <w:rFonts w:hint="eastAsia" w:cs="宋体"/>
                <w:kern w:val="0"/>
                <w:sz w:val="22"/>
                <w:szCs w:val="22"/>
              </w:rPr>
              <w:t>2</w:t>
            </w:r>
          </w:p>
        </w:tc>
        <w:tc>
          <w:tcPr>
            <w:tcW w:w="1429" w:type="dxa"/>
            <w:vMerge w:val="continue"/>
            <w:tcBorders>
              <w:top w:val="nil"/>
              <w:left w:val="single" w:color="auto" w:sz="4" w:space="0"/>
              <w:bottom w:val="single" w:color="000000" w:sz="4" w:space="0"/>
              <w:right w:val="single" w:color="auto" w:sz="4" w:space="0"/>
            </w:tcBorders>
            <w:vAlign w:val="center"/>
          </w:tcPr>
          <w:p>
            <w:pPr>
              <w:widowControl/>
              <w:jc w:val="left"/>
              <w:rPr>
                <w:rFonts w:cs="宋体"/>
                <w:kern w:val="0"/>
                <w:sz w:val="22"/>
                <w:szCs w:val="22"/>
              </w:rPr>
            </w:pPr>
          </w:p>
        </w:tc>
        <w:tc>
          <w:tcPr>
            <w:tcW w:w="2743" w:type="dxa"/>
            <w:tcBorders>
              <w:top w:val="nil"/>
              <w:left w:val="nil"/>
              <w:bottom w:val="single" w:color="auto" w:sz="4" w:space="0"/>
              <w:right w:val="single" w:color="auto" w:sz="4" w:space="0"/>
            </w:tcBorders>
            <w:vAlign w:val="center"/>
          </w:tcPr>
          <w:p>
            <w:pPr>
              <w:widowControl/>
              <w:jc w:val="left"/>
              <w:rPr>
                <w:rFonts w:cs="宋体"/>
                <w:kern w:val="0"/>
                <w:sz w:val="22"/>
                <w:szCs w:val="22"/>
              </w:rPr>
            </w:pPr>
            <w:r>
              <w:rPr>
                <w:rFonts w:hint="eastAsia" w:cs="宋体"/>
                <w:kern w:val="0"/>
                <w:sz w:val="22"/>
                <w:szCs w:val="22"/>
              </w:rPr>
              <w:t>跨境电商场站管理系统</w:t>
            </w:r>
          </w:p>
        </w:tc>
        <w:tc>
          <w:tcPr>
            <w:tcW w:w="1509" w:type="dxa"/>
            <w:tcBorders>
              <w:top w:val="nil"/>
              <w:left w:val="nil"/>
              <w:bottom w:val="single" w:color="auto" w:sz="4" w:space="0"/>
              <w:right w:val="single" w:color="auto" w:sz="4" w:space="0"/>
            </w:tcBorders>
            <w:vAlign w:val="center"/>
          </w:tcPr>
          <w:p>
            <w:pPr>
              <w:widowControl/>
              <w:jc w:val="center"/>
              <w:rPr>
                <w:rFonts w:cs="宋体"/>
                <w:kern w:val="0"/>
                <w:sz w:val="22"/>
                <w:szCs w:val="22"/>
              </w:rPr>
            </w:pPr>
            <w:r>
              <w:rPr>
                <w:rFonts w:hint="eastAsia" w:cs="宋体"/>
                <w:kern w:val="0"/>
                <w:sz w:val="22"/>
                <w:szCs w:val="22"/>
              </w:rPr>
              <w:t>1</w:t>
            </w:r>
          </w:p>
        </w:tc>
        <w:tc>
          <w:tcPr>
            <w:tcW w:w="1418" w:type="dxa"/>
            <w:tcBorders>
              <w:top w:val="nil"/>
              <w:left w:val="nil"/>
              <w:bottom w:val="single" w:color="auto" w:sz="4" w:space="0"/>
              <w:right w:val="single" w:color="auto" w:sz="4" w:space="0"/>
            </w:tcBorders>
            <w:vAlign w:val="center"/>
          </w:tcPr>
          <w:p>
            <w:pPr>
              <w:widowControl/>
              <w:jc w:val="center"/>
              <w:rPr>
                <w:rFonts w:hint="eastAsia" w:cs="宋体"/>
                <w:kern w:val="0"/>
                <w:sz w:val="22"/>
                <w:szCs w:val="22"/>
              </w:rPr>
            </w:pPr>
            <w:r>
              <w:rPr>
                <w:rFonts w:hint="eastAsia" w:cs="宋体"/>
                <w:kern w:val="0"/>
                <w:sz w:val="22"/>
                <w:szCs w:val="22"/>
              </w:rPr>
              <w:t>套</w:t>
            </w:r>
          </w:p>
        </w:tc>
        <w:tc>
          <w:tcPr>
            <w:tcW w:w="698" w:type="dxa"/>
            <w:tcBorders>
              <w:top w:val="nil"/>
              <w:left w:val="nil"/>
              <w:bottom w:val="single" w:color="auto" w:sz="4" w:space="0"/>
              <w:right w:val="single" w:color="auto" w:sz="4" w:space="0"/>
            </w:tcBorders>
            <w:vAlign w:val="center"/>
          </w:tcPr>
          <w:p>
            <w:pPr>
              <w:widowControl/>
              <w:jc w:val="left"/>
              <w:rPr>
                <w:rFonts w:cs="宋体"/>
                <w:kern w:val="0"/>
                <w:sz w:val="22"/>
                <w:szCs w:val="22"/>
              </w:rPr>
            </w:pPr>
            <w:r>
              <w:rPr>
                <w:rFonts w:hint="eastAsia" w:cs="宋体"/>
                <w:kern w:val="0"/>
                <w:sz w:val="22"/>
                <w:szCs w:val="22"/>
              </w:rPr>
              <w:t>　</w:t>
            </w:r>
          </w:p>
        </w:tc>
      </w:tr>
      <w:tr>
        <w:tblPrEx>
          <w:tblLayout w:type="fixed"/>
          <w:tblCellMar>
            <w:top w:w="0" w:type="dxa"/>
            <w:left w:w="108" w:type="dxa"/>
            <w:bottom w:w="0" w:type="dxa"/>
            <w:right w:w="108" w:type="dxa"/>
          </w:tblCellMar>
        </w:tblPrEx>
        <w:trPr>
          <w:trHeight w:val="285" w:hRule="atLeast"/>
          <w:jc w:val="center"/>
        </w:trPr>
        <w:tc>
          <w:tcPr>
            <w:tcW w:w="698" w:type="dxa"/>
            <w:tcBorders>
              <w:top w:val="nil"/>
              <w:left w:val="single" w:color="auto" w:sz="4" w:space="0"/>
              <w:bottom w:val="single" w:color="auto" w:sz="4" w:space="0"/>
              <w:right w:val="single" w:color="auto" w:sz="4" w:space="0"/>
            </w:tcBorders>
            <w:vAlign w:val="center"/>
          </w:tcPr>
          <w:p>
            <w:pPr>
              <w:widowControl/>
              <w:jc w:val="center"/>
              <w:rPr>
                <w:rFonts w:cs="宋体"/>
                <w:kern w:val="0"/>
                <w:sz w:val="22"/>
                <w:szCs w:val="22"/>
              </w:rPr>
            </w:pPr>
            <w:r>
              <w:rPr>
                <w:rFonts w:hint="eastAsia" w:cs="宋体"/>
                <w:kern w:val="0"/>
                <w:sz w:val="22"/>
                <w:szCs w:val="22"/>
              </w:rPr>
              <w:t>3</w:t>
            </w:r>
          </w:p>
        </w:tc>
        <w:tc>
          <w:tcPr>
            <w:tcW w:w="1429" w:type="dxa"/>
            <w:vMerge w:val="restart"/>
            <w:tcBorders>
              <w:top w:val="nil"/>
              <w:left w:val="single" w:color="auto" w:sz="4" w:space="0"/>
              <w:bottom w:val="single" w:color="000000" w:sz="4" w:space="0"/>
              <w:right w:val="single" w:color="auto" w:sz="4" w:space="0"/>
            </w:tcBorders>
            <w:vAlign w:val="center"/>
          </w:tcPr>
          <w:p>
            <w:pPr>
              <w:widowControl/>
              <w:jc w:val="left"/>
              <w:rPr>
                <w:rFonts w:cs="宋体"/>
                <w:kern w:val="0"/>
                <w:sz w:val="22"/>
                <w:szCs w:val="22"/>
              </w:rPr>
            </w:pPr>
            <w:r>
              <w:rPr>
                <w:rFonts w:hint="eastAsia" w:cs="宋体"/>
                <w:kern w:val="0"/>
                <w:sz w:val="22"/>
                <w:szCs w:val="22"/>
              </w:rPr>
              <w:t>机房及配套设备</w:t>
            </w:r>
          </w:p>
        </w:tc>
        <w:tc>
          <w:tcPr>
            <w:tcW w:w="2743" w:type="dxa"/>
            <w:tcBorders>
              <w:top w:val="nil"/>
              <w:left w:val="nil"/>
              <w:bottom w:val="single" w:color="auto" w:sz="4" w:space="0"/>
              <w:right w:val="single" w:color="auto" w:sz="4" w:space="0"/>
            </w:tcBorders>
            <w:vAlign w:val="center"/>
          </w:tcPr>
          <w:p>
            <w:pPr>
              <w:widowControl/>
              <w:jc w:val="left"/>
              <w:rPr>
                <w:rFonts w:cs="宋体"/>
                <w:kern w:val="0"/>
                <w:sz w:val="22"/>
                <w:szCs w:val="22"/>
              </w:rPr>
            </w:pPr>
            <w:r>
              <w:rPr>
                <w:rFonts w:hint="eastAsia" w:cs="宋体"/>
                <w:kern w:val="0"/>
                <w:sz w:val="22"/>
                <w:szCs w:val="22"/>
              </w:rPr>
              <w:t>机房及配套设备</w:t>
            </w:r>
          </w:p>
        </w:tc>
        <w:tc>
          <w:tcPr>
            <w:tcW w:w="1509" w:type="dxa"/>
            <w:tcBorders>
              <w:top w:val="nil"/>
              <w:left w:val="nil"/>
              <w:bottom w:val="single" w:color="auto" w:sz="4" w:space="0"/>
              <w:right w:val="single" w:color="auto" w:sz="4" w:space="0"/>
            </w:tcBorders>
            <w:vAlign w:val="center"/>
          </w:tcPr>
          <w:p>
            <w:pPr>
              <w:widowControl/>
              <w:jc w:val="center"/>
              <w:rPr>
                <w:rFonts w:cs="宋体"/>
                <w:kern w:val="0"/>
                <w:sz w:val="22"/>
                <w:szCs w:val="22"/>
              </w:rPr>
            </w:pPr>
            <w:r>
              <w:rPr>
                <w:rFonts w:hint="eastAsia" w:cs="宋体"/>
                <w:kern w:val="0"/>
                <w:sz w:val="22"/>
                <w:szCs w:val="22"/>
              </w:rPr>
              <w:t>1</w:t>
            </w:r>
          </w:p>
        </w:tc>
        <w:tc>
          <w:tcPr>
            <w:tcW w:w="1418" w:type="dxa"/>
            <w:tcBorders>
              <w:top w:val="nil"/>
              <w:left w:val="nil"/>
              <w:bottom w:val="single" w:color="auto" w:sz="4" w:space="0"/>
              <w:right w:val="single" w:color="auto" w:sz="4" w:space="0"/>
            </w:tcBorders>
            <w:vAlign w:val="center"/>
          </w:tcPr>
          <w:p>
            <w:pPr>
              <w:widowControl/>
              <w:jc w:val="center"/>
              <w:rPr>
                <w:rFonts w:hint="eastAsia" w:cs="宋体"/>
                <w:kern w:val="0"/>
                <w:sz w:val="22"/>
                <w:szCs w:val="22"/>
              </w:rPr>
            </w:pPr>
            <w:r>
              <w:rPr>
                <w:rFonts w:hint="eastAsia" w:cs="宋体"/>
                <w:kern w:val="0"/>
                <w:sz w:val="22"/>
                <w:szCs w:val="22"/>
              </w:rPr>
              <w:t>套</w:t>
            </w:r>
          </w:p>
        </w:tc>
        <w:tc>
          <w:tcPr>
            <w:tcW w:w="698" w:type="dxa"/>
            <w:tcBorders>
              <w:top w:val="nil"/>
              <w:left w:val="nil"/>
              <w:bottom w:val="single" w:color="auto" w:sz="4" w:space="0"/>
              <w:right w:val="single" w:color="auto" w:sz="4" w:space="0"/>
            </w:tcBorders>
            <w:vAlign w:val="center"/>
          </w:tcPr>
          <w:p>
            <w:pPr>
              <w:widowControl/>
              <w:jc w:val="left"/>
              <w:rPr>
                <w:rFonts w:cs="宋体"/>
                <w:kern w:val="0"/>
                <w:sz w:val="22"/>
                <w:szCs w:val="22"/>
              </w:rPr>
            </w:pPr>
            <w:r>
              <w:rPr>
                <w:rFonts w:hint="eastAsia" w:cs="宋体"/>
                <w:kern w:val="0"/>
                <w:sz w:val="22"/>
                <w:szCs w:val="22"/>
              </w:rPr>
              <w:t>　</w:t>
            </w:r>
          </w:p>
        </w:tc>
      </w:tr>
      <w:tr>
        <w:tblPrEx>
          <w:tblLayout w:type="fixed"/>
          <w:tblCellMar>
            <w:top w:w="0" w:type="dxa"/>
            <w:left w:w="108" w:type="dxa"/>
            <w:bottom w:w="0" w:type="dxa"/>
            <w:right w:w="108" w:type="dxa"/>
          </w:tblCellMar>
        </w:tblPrEx>
        <w:trPr>
          <w:trHeight w:val="285" w:hRule="atLeast"/>
          <w:jc w:val="center"/>
        </w:trPr>
        <w:tc>
          <w:tcPr>
            <w:tcW w:w="698" w:type="dxa"/>
            <w:tcBorders>
              <w:top w:val="nil"/>
              <w:left w:val="single" w:color="auto" w:sz="4" w:space="0"/>
              <w:bottom w:val="single" w:color="auto" w:sz="4" w:space="0"/>
              <w:right w:val="single" w:color="auto" w:sz="4" w:space="0"/>
            </w:tcBorders>
            <w:vAlign w:val="center"/>
          </w:tcPr>
          <w:p>
            <w:pPr>
              <w:widowControl/>
              <w:jc w:val="center"/>
              <w:rPr>
                <w:rFonts w:cs="宋体"/>
                <w:kern w:val="0"/>
                <w:sz w:val="22"/>
                <w:szCs w:val="22"/>
              </w:rPr>
            </w:pPr>
            <w:r>
              <w:rPr>
                <w:rFonts w:hint="eastAsia" w:cs="宋体"/>
                <w:kern w:val="0"/>
                <w:sz w:val="22"/>
                <w:szCs w:val="22"/>
              </w:rPr>
              <w:t>4</w:t>
            </w:r>
          </w:p>
        </w:tc>
        <w:tc>
          <w:tcPr>
            <w:tcW w:w="1429" w:type="dxa"/>
            <w:vMerge w:val="continue"/>
            <w:tcBorders>
              <w:top w:val="nil"/>
              <w:left w:val="single" w:color="auto" w:sz="4" w:space="0"/>
              <w:bottom w:val="single" w:color="000000" w:sz="4" w:space="0"/>
              <w:right w:val="single" w:color="auto" w:sz="4" w:space="0"/>
            </w:tcBorders>
            <w:vAlign w:val="center"/>
          </w:tcPr>
          <w:p>
            <w:pPr>
              <w:widowControl/>
              <w:jc w:val="left"/>
              <w:rPr>
                <w:rFonts w:cs="宋体"/>
                <w:kern w:val="0"/>
                <w:sz w:val="22"/>
                <w:szCs w:val="22"/>
              </w:rPr>
            </w:pPr>
          </w:p>
        </w:tc>
        <w:tc>
          <w:tcPr>
            <w:tcW w:w="2743" w:type="dxa"/>
            <w:tcBorders>
              <w:top w:val="nil"/>
              <w:left w:val="nil"/>
              <w:bottom w:val="single" w:color="auto" w:sz="4" w:space="0"/>
              <w:right w:val="single" w:color="auto" w:sz="4" w:space="0"/>
            </w:tcBorders>
            <w:vAlign w:val="center"/>
          </w:tcPr>
          <w:p>
            <w:pPr>
              <w:widowControl/>
              <w:jc w:val="left"/>
              <w:rPr>
                <w:rFonts w:cs="宋体"/>
                <w:kern w:val="0"/>
                <w:sz w:val="22"/>
                <w:szCs w:val="22"/>
              </w:rPr>
            </w:pPr>
            <w:r>
              <w:rPr>
                <w:rFonts w:hint="eastAsia" w:cs="宋体"/>
                <w:kern w:val="0"/>
                <w:sz w:val="22"/>
                <w:szCs w:val="22"/>
              </w:rPr>
              <w:t>环境软件</w:t>
            </w:r>
          </w:p>
        </w:tc>
        <w:tc>
          <w:tcPr>
            <w:tcW w:w="1509" w:type="dxa"/>
            <w:tcBorders>
              <w:top w:val="nil"/>
              <w:left w:val="nil"/>
              <w:bottom w:val="single" w:color="auto" w:sz="4" w:space="0"/>
              <w:right w:val="single" w:color="auto" w:sz="4" w:space="0"/>
            </w:tcBorders>
            <w:vAlign w:val="center"/>
          </w:tcPr>
          <w:p>
            <w:pPr>
              <w:widowControl/>
              <w:jc w:val="center"/>
              <w:rPr>
                <w:rFonts w:cs="宋体"/>
                <w:kern w:val="0"/>
                <w:sz w:val="22"/>
                <w:szCs w:val="22"/>
              </w:rPr>
            </w:pPr>
            <w:r>
              <w:rPr>
                <w:rFonts w:hint="eastAsia" w:cs="宋体"/>
                <w:kern w:val="0"/>
                <w:sz w:val="22"/>
                <w:szCs w:val="22"/>
              </w:rPr>
              <w:t>1</w:t>
            </w:r>
          </w:p>
        </w:tc>
        <w:tc>
          <w:tcPr>
            <w:tcW w:w="1418" w:type="dxa"/>
            <w:tcBorders>
              <w:top w:val="nil"/>
              <w:left w:val="nil"/>
              <w:bottom w:val="single" w:color="auto" w:sz="4" w:space="0"/>
              <w:right w:val="single" w:color="auto" w:sz="4" w:space="0"/>
            </w:tcBorders>
            <w:vAlign w:val="center"/>
          </w:tcPr>
          <w:p>
            <w:pPr>
              <w:widowControl/>
              <w:jc w:val="center"/>
              <w:rPr>
                <w:rFonts w:cs="宋体"/>
                <w:kern w:val="0"/>
              </w:rPr>
            </w:pPr>
            <w:r>
              <w:rPr>
                <w:rFonts w:hint="eastAsia" w:cs="宋体"/>
                <w:kern w:val="0"/>
                <w:sz w:val="22"/>
                <w:szCs w:val="22"/>
              </w:rPr>
              <w:t>套</w:t>
            </w:r>
          </w:p>
        </w:tc>
        <w:tc>
          <w:tcPr>
            <w:tcW w:w="698" w:type="dxa"/>
            <w:tcBorders>
              <w:top w:val="nil"/>
              <w:left w:val="nil"/>
              <w:bottom w:val="single" w:color="auto" w:sz="4" w:space="0"/>
              <w:right w:val="single" w:color="auto" w:sz="4" w:space="0"/>
            </w:tcBorders>
            <w:vAlign w:val="center"/>
          </w:tcPr>
          <w:p>
            <w:pPr>
              <w:widowControl/>
              <w:jc w:val="left"/>
              <w:rPr>
                <w:rFonts w:cs="宋体"/>
                <w:kern w:val="0"/>
                <w:sz w:val="22"/>
                <w:szCs w:val="22"/>
              </w:rPr>
            </w:pPr>
            <w:r>
              <w:rPr>
                <w:rFonts w:hint="eastAsia" w:cs="宋体"/>
                <w:kern w:val="0"/>
                <w:sz w:val="22"/>
                <w:szCs w:val="22"/>
              </w:rPr>
              <w:t>　</w:t>
            </w:r>
          </w:p>
        </w:tc>
      </w:tr>
      <w:tr>
        <w:tblPrEx>
          <w:tblLayout w:type="fixed"/>
          <w:tblCellMar>
            <w:top w:w="0" w:type="dxa"/>
            <w:left w:w="108" w:type="dxa"/>
            <w:bottom w:w="0" w:type="dxa"/>
            <w:right w:w="108" w:type="dxa"/>
          </w:tblCellMar>
        </w:tblPrEx>
        <w:trPr>
          <w:trHeight w:val="285" w:hRule="atLeast"/>
          <w:jc w:val="center"/>
        </w:trPr>
        <w:tc>
          <w:tcPr>
            <w:tcW w:w="698" w:type="dxa"/>
            <w:tcBorders>
              <w:top w:val="nil"/>
              <w:left w:val="single" w:color="auto" w:sz="4" w:space="0"/>
              <w:bottom w:val="single" w:color="auto" w:sz="4" w:space="0"/>
              <w:right w:val="single" w:color="auto" w:sz="4" w:space="0"/>
            </w:tcBorders>
            <w:vAlign w:val="center"/>
          </w:tcPr>
          <w:p>
            <w:pPr>
              <w:widowControl/>
              <w:jc w:val="center"/>
              <w:rPr>
                <w:rFonts w:hint="eastAsia" w:cs="宋体"/>
                <w:kern w:val="0"/>
                <w:sz w:val="22"/>
                <w:szCs w:val="22"/>
              </w:rPr>
            </w:pPr>
            <w:r>
              <w:rPr>
                <w:rFonts w:hint="eastAsia" w:cs="宋体"/>
                <w:kern w:val="0"/>
                <w:sz w:val="22"/>
                <w:szCs w:val="22"/>
              </w:rPr>
              <w:t>5</w:t>
            </w:r>
          </w:p>
        </w:tc>
        <w:tc>
          <w:tcPr>
            <w:tcW w:w="1429" w:type="dxa"/>
            <w:vMerge w:val="restart"/>
            <w:tcBorders>
              <w:top w:val="nil"/>
              <w:left w:val="single" w:color="auto" w:sz="4" w:space="0"/>
              <w:right w:val="single" w:color="auto" w:sz="4" w:space="0"/>
            </w:tcBorders>
            <w:vAlign w:val="center"/>
          </w:tcPr>
          <w:p>
            <w:pPr>
              <w:widowControl/>
              <w:jc w:val="left"/>
              <w:rPr>
                <w:rFonts w:cs="宋体"/>
                <w:kern w:val="0"/>
                <w:sz w:val="22"/>
                <w:szCs w:val="22"/>
              </w:rPr>
            </w:pPr>
            <w:r>
              <w:rPr>
                <w:rFonts w:hint="eastAsia" w:cs="宋体"/>
                <w:kern w:val="0"/>
                <w:sz w:val="22"/>
                <w:szCs w:val="22"/>
              </w:rPr>
              <w:t>弱电智能化</w:t>
            </w:r>
          </w:p>
        </w:tc>
        <w:tc>
          <w:tcPr>
            <w:tcW w:w="2743" w:type="dxa"/>
            <w:tcBorders>
              <w:top w:val="nil"/>
              <w:left w:val="nil"/>
              <w:bottom w:val="single" w:color="auto" w:sz="4" w:space="0"/>
              <w:right w:val="single" w:color="auto" w:sz="4" w:space="0"/>
            </w:tcBorders>
            <w:vAlign w:val="center"/>
          </w:tcPr>
          <w:p>
            <w:pPr>
              <w:widowControl/>
              <w:jc w:val="left"/>
              <w:rPr>
                <w:rFonts w:hint="eastAsia" w:cs="宋体"/>
                <w:kern w:val="0"/>
                <w:sz w:val="22"/>
                <w:szCs w:val="22"/>
              </w:rPr>
            </w:pPr>
            <w:r>
              <w:rPr>
                <w:rFonts w:hint="eastAsia" w:cs="宋体"/>
                <w:kern w:val="0"/>
                <w:sz w:val="22"/>
                <w:szCs w:val="22"/>
              </w:rPr>
              <w:t>X光机分拣线</w:t>
            </w:r>
          </w:p>
        </w:tc>
        <w:tc>
          <w:tcPr>
            <w:tcW w:w="1509" w:type="dxa"/>
            <w:tcBorders>
              <w:top w:val="nil"/>
              <w:left w:val="nil"/>
              <w:bottom w:val="single" w:color="auto" w:sz="4" w:space="0"/>
              <w:right w:val="single" w:color="auto" w:sz="4" w:space="0"/>
            </w:tcBorders>
            <w:vAlign w:val="center"/>
          </w:tcPr>
          <w:p>
            <w:pPr>
              <w:widowControl/>
              <w:jc w:val="center"/>
              <w:rPr>
                <w:rFonts w:hint="eastAsia" w:cs="宋体"/>
                <w:kern w:val="0"/>
                <w:sz w:val="22"/>
                <w:szCs w:val="22"/>
              </w:rPr>
            </w:pPr>
            <w:r>
              <w:rPr>
                <w:rFonts w:hint="eastAsia" w:cs="宋体"/>
                <w:kern w:val="0"/>
                <w:sz w:val="22"/>
                <w:szCs w:val="22"/>
              </w:rPr>
              <w:t>1</w:t>
            </w:r>
          </w:p>
        </w:tc>
        <w:tc>
          <w:tcPr>
            <w:tcW w:w="1418" w:type="dxa"/>
            <w:tcBorders>
              <w:top w:val="nil"/>
              <w:left w:val="nil"/>
              <w:bottom w:val="single" w:color="auto" w:sz="4" w:space="0"/>
              <w:right w:val="single" w:color="auto" w:sz="4" w:space="0"/>
            </w:tcBorders>
            <w:vAlign w:val="center"/>
          </w:tcPr>
          <w:p>
            <w:pPr>
              <w:widowControl/>
              <w:jc w:val="center"/>
              <w:rPr>
                <w:rFonts w:hint="eastAsia" w:cs="宋体"/>
                <w:kern w:val="0"/>
                <w:sz w:val="22"/>
                <w:szCs w:val="22"/>
              </w:rPr>
            </w:pPr>
            <w:r>
              <w:rPr>
                <w:rFonts w:hint="eastAsia" w:cs="宋体"/>
                <w:kern w:val="0"/>
                <w:sz w:val="22"/>
                <w:szCs w:val="22"/>
              </w:rPr>
              <w:t>套</w:t>
            </w:r>
          </w:p>
        </w:tc>
        <w:tc>
          <w:tcPr>
            <w:tcW w:w="698" w:type="dxa"/>
            <w:tcBorders>
              <w:top w:val="nil"/>
              <w:left w:val="nil"/>
              <w:bottom w:val="single" w:color="auto" w:sz="4" w:space="0"/>
              <w:right w:val="single" w:color="auto" w:sz="4" w:space="0"/>
            </w:tcBorders>
            <w:vAlign w:val="center"/>
          </w:tcPr>
          <w:p>
            <w:pPr>
              <w:widowControl/>
              <w:jc w:val="left"/>
              <w:rPr>
                <w:rFonts w:hint="eastAsia" w:cs="宋体"/>
                <w:kern w:val="0"/>
                <w:sz w:val="22"/>
                <w:szCs w:val="22"/>
              </w:rPr>
            </w:pPr>
          </w:p>
        </w:tc>
      </w:tr>
      <w:tr>
        <w:tblPrEx>
          <w:tblLayout w:type="fixed"/>
          <w:tblCellMar>
            <w:top w:w="0" w:type="dxa"/>
            <w:left w:w="108" w:type="dxa"/>
            <w:bottom w:w="0" w:type="dxa"/>
            <w:right w:w="108" w:type="dxa"/>
          </w:tblCellMar>
        </w:tblPrEx>
        <w:trPr>
          <w:trHeight w:val="285" w:hRule="atLeast"/>
          <w:jc w:val="center"/>
        </w:trPr>
        <w:tc>
          <w:tcPr>
            <w:tcW w:w="698" w:type="dxa"/>
            <w:tcBorders>
              <w:top w:val="nil"/>
              <w:left w:val="single" w:color="auto" w:sz="4" w:space="0"/>
              <w:bottom w:val="single" w:color="auto" w:sz="4" w:space="0"/>
              <w:right w:val="single" w:color="auto" w:sz="4" w:space="0"/>
            </w:tcBorders>
            <w:vAlign w:val="center"/>
          </w:tcPr>
          <w:p>
            <w:pPr>
              <w:widowControl/>
              <w:jc w:val="center"/>
              <w:rPr>
                <w:rFonts w:hint="eastAsia" w:cs="宋体"/>
                <w:kern w:val="0"/>
                <w:sz w:val="22"/>
                <w:szCs w:val="22"/>
              </w:rPr>
            </w:pPr>
            <w:r>
              <w:rPr>
                <w:rFonts w:hint="eastAsia" w:cs="宋体"/>
                <w:kern w:val="0"/>
                <w:sz w:val="22"/>
                <w:szCs w:val="22"/>
              </w:rPr>
              <w:t>6</w:t>
            </w:r>
          </w:p>
        </w:tc>
        <w:tc>
          <w:tcPr>
            <w:tcW w:w="1429" w:type="dxa"/>
            <w:vMerge w:val="continue"/>
            <w:tcBorders>
              <w:left w:val="single" w:color="auto" w:sz="4" w:space="0"/>
              <w:right w:val="single" w:color="auto" w:sz="4" w:space="0"/>
            </w:tcBorders>
            <w:vAlign w:val="center"/>
          </w:tcPr>
          <w:p>
            <w:pPr>
              <w:widowControl/>
              <w:jc w:val="left"/>
              <w:rPr>
                <w:rFonts w:cs="宋体"/>
                <w:kern w:val="0"/>
                <w:sz w:val="22"/>
                <w:szCs w:val="22"/>
              </w:rPr>
            </w:pPr>
          </w:p>
        </w:tc>
        <w:tc>
          <w:tcPr>
            <w:tcW w:w="2743" w:type="dxa"/>
            <w:tcBorders>
              <w:top w:val="nil"/>
              <w:left w:val="nil"/>
              <w:bottom w:val="single" w:color="auto" w:sz="4" w:space="0"/>
              <w:right w:val="single" w:color="auto" w:sz="4" w:space="0"/>
            </w:tcBorders>
            <w:vAlign w:val="center"/>
          </w:tcPr>
          <w:p>
            <w:pPr>
              <w:widowControl/>
              <w:jc w:val="left"/>
              <w:rPr>
                <w:rFonts w:cs="宋体"/>
                <w:kern w:val="0"/>
                <w:sz w:val="22"/>
                <w:szCs w:val="22"/>
              </w:rPr>
            </w:pPr>
            <w:r>
              <w:rPr>
                <w:rFonts w:hint="eastAsia" w:cs="宋体"/>
                <w:kern w:val="0"/>
                <w:sz w:val="22"/>
                <w:szCs w:val="22"/>
              </w:rPr>
              <w:t>智能卡口</w:t>
            </w:r>
          </w:p>
        </w:tc>
        <w:tc>
          <w:tcPr>
            <w:tcW w:w="1509" w:type="dxa"/>
            <w:tcBorders>
              <w:top w:val="nil"/>
              <w:left w:val="nil"/>
              <w:bottom w:val="single" w:color="auto" w:sz="4" w:space="0"/>
              <w:right w:val="single" w:color="auto" w:sz="4" w:space="0"/>
            </w:tcBorders>
            <w:vAlign w:val="center"/>
          </w:tcPr>
          <w:p>
            <w:pPr>
              <w:widowControl/>
              <w:jc w:val="center"/>
              <w:rPr>
                <w:rFonts w:cs="宋体"/>
                <w:kern w:val="0"/>
                <w:sz w:val="22"/>
                <w:szCs w:val="22"/>
              </w:rPr>
            </w:pPr>
            <w:r>
              <w:rPr>
                <w:rFonts w:hint="eastAsia" w:cs="宋体"/>
                <w:kern w:val="0"/>
                <w:sz w:val="22"/>
                <w:szCs w:val="22"/>
              </w:rPr>
              <w:t>1</w:t>
            </w:r>
          </w:p>
        </w:tc>
        <w:tc>
          <w:tcPr>
            <w:tcW w:w="1418" w:type="dxa"/>
            <w:tcBorders>
              <w:top w:val="nil"/>
              <w:left w:val="nil"/>
              <w:bottom w:val="single" w:color="auto" w:sz="4" w:space="0"/>
              <w:right w:val="single" w:color="auto" w:sz="4" w:space="0"/>
            </w:tcBorders>
            <w:vAlign w:val="center"/>
          </w:tcPr>
          <w:p>
            <w:pPr>
              <w:widowControl/>
              <w:jc w:val="center"/>
              <w:rPr>
                <w:rFonts w:cs="宋体"/>
                <w:kern w:val="0"/>
                <w:sz w:val="22"/>
                <w:szCs w:val="22"/>
              </w:rPr>
            </w:pPr>
            <w:r>
              <w:rPr>
                <w:rFonts w:hint="eastAsia" w:cs="宋体"/>
                <w:kern w:val="0"/>
                <w:sz w:val="22"/>
                <w:szCs w:val="22"/>
              </w:rPr>
              <w:t>套</w:t>
            </w:r>
          </w:p>
        </w:tc>
        <w:tc>
          <w:tcPr>
            <w:tcW w:w="698" w:type="dxa"/>
            <w:tcBorders>
              <w:top w:val="nil"/>
              <w:left w:val="nil"/>
              <w:bottom w:val="single" w:color="auto" w:sz="4" w:space="0"/>
              <w:right w:val="single" w:color="auto" w:sz="4" w:space="0"/>
            </w:tcBorders>
            <w:vAlign w:val="center"/>
          </w:tcPr>
          <w:p>
            <w:pPr>
              <w:widowControl/>
              <w:jc w:val="left"/>
              <w:rPr>
                <w:rFonts w:cs="宋体"/>
                <w:kern w:val="0"/>
                <w:sz w:val="22"/>
                <w:szCs w:val="22"/>
              </w:rPr>
            </w:pPr>
            <w:r>
              <w:rPr>
                <w:rFonts w:hint="eastAsia" w:cs="宋体"/>
                <w:kern w:val="0"/>
                <w:sz w:val="22"/>
                <w:szCs w:val="22"/>
              </w:rPr>
              <w:t>　</w:t>
            </w:r>
          </w:p>
        </w:tc>
      </w:tr>
      <w:tr>
        <w:tblPrEx>
          <w:tblLayout w:type="fixed"/>
          <w:tblCellMar>
            <w:top w:w="0" w:type="dxa"/>
            <w:left w:w="108" w:type="dxa"/>
            <w:bottom w:w="0" w:type="dxa"/>
            <w:right w:w="108" w:type="dxa"/>
          </w:tblCellMar>
        </w:tblPrEx>
        <w:trPr>
          <w:trHeight w:val="285" w:hRule="atLeast"/>
          <w:jc w:val="center"/>
        </w:trPr>
        <w:tc>
          <w:tcPr>
            <w:tcW w:w="698" w:type="dxa"/>
            <w:tcBorders>
              <w:top w:val="nil"/>
              <w:left w:val="single" w:color="auto" w:sz="4" w:space="0"/>
              <w:bottom w:val="single" w:color="auto" w:sz="4" w:space="0"/>
              <w:right w:val="single" w:color="auto" w:sz="4" w:space="0"/>
            </w:tcBorders>
            <w:vAlign w:val="center"/>
          </w:tcPr>
          <w:p>
            <w:pPr>
              <w:widowControl/>
              <w:jc w:val="center"/>
              <w:rPr>
                <w:rFonts w:hint="eastAsia" w:cs="宋体"/>
                <w:kern w:val="0"/>
                <w:sz w:val="22"/>
                <w:szCs w:val="22"/>
              </w:rPr>
            </w:pPr>
            <w:r>
              <w:rPr>
                <w:rFonts w:hint="eastAsia" w:cs="宋体"/>
                <w:kern w:val="0"/>
                <w:sz w:val="22"/>
                <w:szCs w:val="22"/>
              </w:rPr>
              <w:t>8</w:t>
            </w:r>
          </w:p>
        </w:tc>
        <w:tc>
          <w:tcPr>
            <w:tcW w:w="1429" w:type="dxa"/>
            <w:vMerge w:val="continue"/>
            <w:tcBorders>
              <w:left w:val="single" w:color="auto" w:sz="4" w:space="0"/>
              <w:right w:val="single" w:color="auto" w:sz="4" w:space="0"/>
            </w:tcBorders>
            <w:vAlign w:val="center"/>
          </w:tcPr>
          <w:p>
            <w:pPr>
              <w:widowControl/>
              <w:jc w:val="left"/>
              <w:rPr>
                <w:rFonts w:cs="宋体"/>
                <w:kern w:val="0"/>
                <w:sz w:val="22"/>
                <w:szCs w:val="22"/>
              </w:rPr>
            </w:pPr>
          </w:p>
        </w:tc>
        <w:tc>
          <w:tcPr>
            <w:tcW w:w="2743" w:type="dxa"/>
            <w:tcBorders>
              <w:top w:val="nil"/>
              <w:left w:val="nil"/>
              <w:bottom w:val="single" w:color="auto" w:sz="4" w:space="0"/>
              <w:right w:val="single" w:color="auto" w:sz="4" w:space="0"/>
            </w:tcBorders>
            <w:vAlign w:val="center"/>
          </w:tcPr>
          <w:p>
            <w:pPr>
              <w:widowControl/>
              <w:jc w:val="left"/>
              <w:rPr>
                <w:rFonts w:cs="宋体"/>
                <w:kern w:val="0"/>
                <w:sz w:val="22"/>
                <w:szCs w:val="22"/>
              </w:rPr>
            </w:pPr>
            <w:r>
              <w:rPr>
                <w:rFonts w:hint="eastAsia" w:cs="宋体"/>
                <w:kern w:val="0"/>
                <w:sz w:val="22"/>
                <w:szCs w:val="22"/>
              </w:rPr>
              <w:t>安防监控</w:t>
            </w:r>
          </w:p>
        </w:tc>
        <w:tc>
          <w:tcPr>
            <w:tcW w:w="1509" w:type="dxa"/>
            <w:tcBorders>
              <w:top w:val="nil"/>
              <w:left w:val="nil"/>
              <w:bottom w:val="single" w:color="auto" w:sz="4" w:space="0"/>
              <w:right w:val="single" w:color="auto" w:sz="4" w:space="0"/>
            </w:tcBorders>
            <w:vAlign w:val="center"/>
          </w:tcPr>
          <w:p>
            <w:pPr>
              <w:widowControl/>
              <w:jc w:val="center"/>
              <w:rPr>
                <w:rFonts w:cs="宋体"/>
                <w:kern w:val="0"/>
                <w:sz w:val="22"/>
                <w:szCs w:val="22"/>
              </w:rPr>
            </w:pPr>
            <w:r>
              <w:rPr>
                <w:rFonts w:hint="eastAsia" w:cs="宋体"/>
                <w:kern w:val="0"/>
                <w:sz w:val="22"/>
                <w:szCs w:val="22"/>
              </w:rPr>
              <w:t>1</w:t>
            </w:r>
          </w:p>
        </w:tc>
        <w:tc>
          <w:tcPr>
            <w:tcW w:w="1418" w:type="dxa"/>
            <w:tcBorders>
              <w:top w:val="nil"/>
              <w:left w:val="nil"/>
              <w:bottom w:val="single" w:color="auto" w:sz="4" w:space="0"/>
              <w:right w:val="single" w:color="auto" w:sz="4" w:space="0"/>
            </w:tcBorders>
            <w:vAlign w:val="center"/>
          </w:tcPr>
          <w:p>
            <w:pPr>
              <w:widowControl/>
              <w:jc w:val="center"/>
              <w:rPr>
                <w:rFonts w:cs="宋体"/>
                <w:kern w:val="0"/>
                <w:sz w:val="22"/>
                <w:szCs w:val="22"/>
              </w:rPr>
            </w:pPr>
            <w:r>
              <w:rPr>
                <w:rFonts w:hint="eastAsia" w:cs="宋体"/>
                <w:kern w:val="0"/>
                <w:sz w:val="22"/>
                <w:szCs w:val="22"/>
              </w:rPr>
              <w:t>套</w:t>
            </w:r>
          </w:p>
        </w:tc>
        <w:tc>
          <w:tcPr>
            <w:tcW w:w="698" w:type="dxa"/>
            <w:tcBorders>
              <w:top w:val="nil"/>
              <w:left w:val="nil"/>
              <w:bottom w:val="single" w:color="auto" w:sz="4" w:space="0"/>
              <w:right w:val="single" w:color="auto" w:sz="4" w:space="0"/>
            </w:tcBorders>
            <w:vAlign w:val="center"/>
          </w:tcPr>
          <w:p>
            <w:pPr>
              <w:widowControl/>
              <w:jc w:val="left"/>
              <w:rPr>
                <w:rFonts w:cs="宋体"/>
                <w:kern w:val="0"/>
                <w:sz w:val="22"/>
                <w:szCs w:val="22"/>
              </w:rPr>
            </w:pPr>
            <w:r>
              <w:rPr>
                <w:rFonts w:hint="eastAsia" w:cs="宋体"/>
                <w:kern w:val="0"/>
                <w:sz w:val="22"/>
                <w:szCs w:val="22"/>
              </w:rPr>
              <w:t>　</w:t>
            </w:r>
          </w:p>
        </w:tc>
      </w:tr>
      <w:tr>
        <w:tblPrEx>
          <w:tblLayout w:type="fixed"/>
          <w:tblCellMar>
            <w:top w:w="0" w:type="dxa"/>
            <w:left w:w="108" w:type="dxa"/>
            <w:bottom w:w="0" w:type="dxa"/>
            <w:right w:w="108" w:type="dxa"/>
          </w:tblCellMar>
        </w:tblPrEx>
        <w:trPr>
          <w:trHeight w:val="285" w:hRule="atLeast"/>
          <w:jc w:val="center"/>
        </w:trPr>
        <w:tc>
          <w:tcPr>
            <w:tcW w:w="698" w:type="dxa"/>
            <w:tcBorders>
              <w:top w:val="nil"/>
              <w:left w:val="single" w:color="auto" w:sz="4" w:space="0"/>
              <w:bottom w:val="single" w:color="auto" w:sz="4" w:space="0"/>
              <w:right w:val="single" w:color="auto" w:sz="4" w:space="0"/>
            </w:tcBorders>
            <w:vAlign w:val="center"/>
          </w:tcPr>
          <w:p>
            <w:pPr>
              <w:widowControl/>
              <w:jc w:val="center"/>
              <w:rPr>
                <w:rFonts w:hint="eastAsia" w:cs="宋体"/>
                <w:kern w:val="0"/>
                <w:sz w:val="22"/>
                <w:szCs w:val="22"/>
              </w:rPr>
            </w:pPr>
            <w:r>
              <w:rPr>
                <w:rFonts w:hint="eastAsia" w:cs="宋体"/>
                <w:kern w:val="0"/>
                <w:sz w:val="22"/>
                <w:szCs w:val="22"/>
              </w:rPr>
              <w:t>9</w:t>
            </w:r>
          </w:p>
        </w:tc>
        <w:tc>
          <w:tcPr>
            <w:tcW w:w="1429" w:type="dxa"/>
            <w:vMerge w:val="continue"/>
            <w:tcBorders>
              <w:left w:val="single" w:color="auto" w:sz="4" w:space="0"/>
              <w:bottom w:val="single" w:color="auto" w:sz="4" w:space="0"/>
              <w:right w:val="single" w:color="auto" w:sz="4" w:space="0"/>
            </w:tcBorders>
            <w:vAlign w:val="center"/>
          </w:tcPr>
          <w:p>
            <w:pPr>
              <w:widowControl/>
              <w:jc w:val="left"/>
              <w:rPr>
                <w:rFonts w:cs="宋体"/>
                <w:kern w:val="0"/>
                <w:sz w:val="22"/>
                <w:szCs w:val="22"/>
              </w:rPr>
            </w:pPr>
          </w:p>
        </w:tc>
        <w:tc>
          <w:tcPr>
            <w:tcW w:w="2743" w:type="dxa"/>
            <w:tcBorders>
              <w:top w:val="nil"/>
              <w:left w:val="nil"/>
              <w:bottom w:val="single" w:color="auto" w:sz="4" w:space="0"/>
              <w:right w:val="single" w:color="auto" w:sz="4" w:space="0"/>
            </w:tcBorders>
            <w:vAlign w:val="center"/>
          </w:tcPr>
          <w:p>
            <w:pPr>
              <w:widowControl/>
              <w:jc w:val="left"/>
              <w:rPr>
                <w:rFonts w:cs="宋体"/>
                <w:kern w:val="0"/>
                <w:sz w:val="22"/>
                <w:szCs w:val="22"/>
              </w:rPr>
            </w:pPr>
            <w:r>
              <w:rPr>
                <w:rFonts w:hint="eastAsia" w:cs="宋体"/>
                <w:kern w:val="0"/>
                <w:sz w:val="22"/>
                <w:szCs w:val="22"/>
              </w:rPr>
              <w:t>综合布线（含总体集成费）</w:t>
            </w:r>
          </w:p>
        </w:tc>
        <w:tc>
          <w:tcPr>
            <w:tcW w:w="1509" w:type="dxa"/>
            <w:tcBorders>
              <w:top w:val="nil"/>
              <w:left w:val="nil"/>
              <w:bottom w:val="single" w:color="auto" w:sz="4" w:space="0"/>
              <w:right w:val="single" w:color="auto" w:sz="4" w:space="0"/>
            </w:tcBorders>
            <w:vAlign w:val="center"/>
          </w:tcPr>
          <w:p>
            <w:pPr>
              <w:widowControl/>
              <w:jc w:val="center"/>
              <w:rPr>
                <w:rFonts w:cs="宋体"/>
                <w:kern w:val="0"/>
                <w:sz w:val="22"/>
                <w:szCs w:val="22"/>
              </w:rPr>
            </w:pPr>
            <w:r>
              <w:rPr>
                <w:rFonts w:hint="eastAsia" w:cs="宋体"/>
                <w:kern w:val="0"/>
                <w:sz w:val="22"/>
                <w:szCs w:val="22"/>
              </w:rPr>
              <w:t>1</w:t>
            </w:r>
          </w:p>
        </w:tc>
        <w:tc>
          <w:tcPr>
            <w:tcW w:w="1418" w:type="dxa"/>
            <w:tcBorders>
              <w:top w:val="nil"/>
              <w:left w:val="nil"/>
              <w:bottom w:val="single" w:color="auto" w:sz="4" w:space="0"/>
              <w:right w:val="single" w:color="auto" w:sz="4" w:space="0"/>
            </w:tcBorders>
            <w:vAlign w:val="center"/>
          </w:tcPr>
          <w:p>
            <w:pPr>
              <w:widowControl/>
              <w:jc w:val="center"/>
              <w:rPr>
                <w:rFonts w:cs="宋体"/>
                <w:kern w:val="0"/>
                <w:sz w:val="22"/>
                <w:szCs w:val="22"/>
              </w:rPr>
            </w:pPr>
            <w:r>
              <w:rPr>
                <w:rFonts w:hint="eastAsia" w:cs="宋体"/>
                <w:kern w:val="0"/>
                <w:sz w:val="22"/>
                <w:szCs w:val="22"/>
              </w:rPr>
              <w:t>批</w:t>
            </w:r>
          </w:p>
        </w:tc>
        <w:tc>
          <w:tcPr>
            <w:tcW w:w="698" w:type="dxa"/>
            <w:tcBorders>
              <w:top w:val="nil"/>
              <w:left w:val="nil"/>
              <w:bottom w:val="single" w:color="auto" w:sz="4" w:space="0"/>
              <w:right w:val="single" w:color="auto" w:sz="4" w:space="0"/>
            </w:tcBorders>
            <w:vAlign w:val="center"/>
          </w:tcPr>
          <w:p>
            <w:pPr>
              <w:widowControl/>
              <w:jc w:val="left"/>
              <w:rPr>
                <w:rFonts w:cs="宋体"/>
                <w:kern w:val="0"/>
                <w:sz w:val="22"/>
                <w:szCs w:val="22"/>
              </w:rPr>
            </w:pPr>
            <w:r>
              <w:rPr>
                <w:rFonts w:hint="eastAsia" w:cs="宋体"/>
                <w:kern w:val="0"/>
                <w:sz w:val="22"/>
                <w:szCs w:val="22"/>
              </w:rPr>
              <w:t>　</w:t>
            </w:r>
          </w:p>
        </w:tc>
      </w:tr>
    </w:tbl>
    <w:p>
      <w:pPr>
        <w:spacing w:line="360" w:lineRule="auto"/>
        <w:rPr>
          <w:rFonts w:hint="eastAsia" w:cs="宋体"/>
          <w:kern w:val="0"/>
          <w:sz w:val="28"/>
          <w:szCs w:val="28"/>
        </w:rPr>
      </w:pPr>
    </w:p>
    <w:p>
      <w:pPr>
        <w:jc w:val="center"/>
        <w:rPr>
          <w:rFonts w:hint="eastAsia" w:ascii="宋体" w:hAnsi="宋体" w:cs="宋体"/>
          <w:kern w:val="0"/>
          <w:sz w:val="24"/>
          <w:shd w:val="clear" w:color="auto" w:fill="FFFFFF"/>
        </w:rPr>
      </w:pPr>
    </w:p>
    <w:p>
      <w:pPr>
        <w:rPr>
          <w:rFonts w:hint="eastAsia" w:ascii="宋体" w:hAnsi="宋体" w:cs="宋体"/>
          <w:kern w:val="0"/>
          <w:sz w:val="24"/>
          <w:shd w:val="clear" w:color="auto" w:fill="FFFFFF"/>
        </w:rPr>
      </w:pPr>
    </w:p>
    <w:p>
      <w:pPr>
        <w:jc w:val="center"/>
        <w:rPr>
          <w:rFonts w:hint="eastAsia" w:ascii="宋体" w:hAnsi="宋体" w:cs="宋体"/>
          <w:kern w:val="0"/>
          <w:sz w:val="24"/>
          <w:shd w:val="clear" w:color="auto" w:fill="FFFFFF"/>
        </w:rPr>
      </w:pPr>
    </w:p>
    <w:p>
      <w:pPr>
        <w:jc w:val="center"/>
        <w:rPr>
          <w:b/>
          <w:bCs/>
        </w:rPr>
      </w:pPr>
    </w:p>
    <w:p>
      <w:pPr>
        <w:jc w:val="center"/>
        <w:rPr>
          <w:b/>
          <w:bCs/>
        </w:rPr>
      </w:pPr>
    </w:p>
    <w:p>
      <w:pPr>
        <w:jc w:val="center"/>
        <w:rPr>
          <w:b/>
          <w:bCs/>
        </w:rPr>
      </w:pPr>
    </w:p>
    <w:p>
      <w:pPr>
        <w:jc w:val="center"/>
        <w:rPr>
          <w:b/>
          <w:bCs/>
        </w:rPr>
      </w:pPr>
    </w:p>
    <w:p>
      <w:pPr>
        <w:jc w:val="center"/>
        <w:rPr>
          <w:b/>
          <w:bCs/>
        </w:rPr>
      </w:pPr>
    </w:p>
    <w:p>
      <w:pPr>
        <w:jc w:val="center"/>
        <w:rPr>
          <w:b/>
          <w:bCs/>
        </w:rPr>
      </w:pPr>
    </w:p>
    <w:p>
      <w:pPr>
        <w:jc w:val="center"/>
        <w:rPr>
          <w:b/>
          <w:bCs/>
        </w:rPr>
      </w:pPr>
    </w:p>
    <w:p>
      <w:pPr>
        <w:jc w:val="center"/>
        <w:rPr>
          <w:b/>
          <w:bCs/>
        </w:rPr>
      </w:pPr>
    </w:p>
    <w:p>
      <w:pPr>
        <w:jc w:val="center"/>
        <w:rPr>
          <w:b/>
          <w:bCs/>
        </w:rPr>
      </w:pPr>
    </w:p>
    <w:p>
      <w:pPr>
        <w:jc w:val="center"/>
        <w:rPr>
          <w:b/>
          <w:bCs/>
        </w:rPr>
      </w:pPr>
      <w:r>
        <w:rPr>
          <w:b/>
          <w:bCs/>
        </w:rPr>
        <w:t>项目清单</w:t>
      </w:r>
    </w:p>
    <w:p>
      <w:pPr>
        <w:rPr>
          <w:b/>
          <w:bCs/>
        </w:rPr>
      </w:pPr>
    </w:p>
    <w:tbl>
      <w:tblPr>
        <w:tblStyle w:val="12"/>
        <w:tblW w:w="9761" w:type="dxa"/>
        <w:tblInd w:w="93" w:type="dxa"/>
        <w:tblLayout w:type="fixed"/>
        <w:tblCellMar>
          <w:top w:w="15" w:type="dxa"/>
          <w:left w:w="108" w:type="dxa"/>
          <w:bottom w:w="15" w:type="dxa"/>
          <w:right w:w="108" w:type="dxa"/>
        </w:tblCellMar>
      </w:tblPr>
      <w:tblGrid>
        <w:gridCol w:w="497"/>
        <w:gridCol w:w="1119"/>
        <w:gridCol w:w="7365"/>
        <w:gridCol w:w="780"/>
      </w:tblGrid>
      <w:tr>
        <w:tblPrEx>
          <w:tblLayout w:type="fixed"/>
          <w:tblCellMar>
            <w:top w:w="15" w:type="dxa"/>
            <w:left w:w="108" w:type="dxa"/>
            <w:bottom w:w="15" w:type="dxa"/>
            <w:right w:w="108" w:type="dxa"/>
          </w:tblCellMar>
        </w:tblPrEx>
        <w:trPr>
          <w:trHeight w:val="405" w:hRule="atLeast"/>
        </w:trPr>
        <w:tc>
          <w:tcPr>
            <w:tcW w:w="9761" w:type="dxa"/>
            <w:gridSpan w:val="4"/>
            <w:vAlign w:val="center"/>
          </w:tcPr>
          <w:p>
            <w:pPr>
              <w:widowControl/>
              <w:jc w:val="left"/>
              <w:rPr>
                <w:rFonts w:ascii="宋体" w:hAnsi="宋体" w:cs="宋体"/>
                <w:b/>
                <w:bCs/>
                <w:kern w:val="0"/>
                <w:sz w:val="28"/>
                <w:szCs w:val="28"/>
              </w:rPr>
            </w:pPr>
            <w:r>
              <w:rPr>
                <w:rFonts w:hint="eastAsia" w:ascii="宋体" w:hAnsi="宋体" w:cs="宋体"/>
                <w:b/>
                <w:bCs/>
                <w:kern w:val="0"/>
                <w:sz w:val="28"/>
                <w:szCs w:val="28"/>
              </w:rPr>
              <w:t>通关一体化申报系统</w:t>
            </w:r>
          </w:p>
        </w:tc>
      </w:tr>
      <w:tr>
        <w:tblPrEx>
          <w:tblLayout w:type="fixed"/>
          <w:tblCellMar>
            <w:top w:w="15" w:type="dxa"/>
            <w:left w:w="108" w:type="dxa"/>
            <w:bottom w:w="15" w:type="dxa"/>
            <w:right w:w="108" w:type="dxa"/>
          </w:tblCellMar>
        </w:tblPrEx>
        <w:trPr>
          <w:trHeight w:val="480" w:hRule="atLeast"/>
        </w:trPr>
        <w:tc>
          <w:tcPr>
            <w:tcW w:w="497" w:type="dxa"/>
            <w:tcBorders>
              <w:top w:val="single" w:color="000000" w:sz="4" w:space="0"/>
              <w:left w:val="single" w:color="000000" w:sz="4" w:space="0"/>
              <w:bottom w:val="single" w:color="000000" w:sz="4" w:space="0"/>
              <w:right w:val="single" w:color="000000" w:sz="4" w:space="0"/>
            </w:tcBorders>
            <w:shd w:val="clear" w:color="auto" w:fill="BFBFBF"/>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序号</w:t>
            </w:r>
          </w:p>
        </w:tc>
        <w:tc>
          <w:tcPr>
            <w:tcW w:w="1119" w:type="dxa"/>
            <w:tcBorders>
              <w:top w:val="single" w:color="000000" w:sz="4" w:space="0"/>
              <w:left w:val="single" w:color="000000" w:sz="4" w:space="0"/>
              <w:bottom w:val="single" w:color="000000" w:sz="4" w:space="0"/>
              <w:right w:val="single" w:color="000000" w:sz="4" w:space="0"/>
            </w:tcBorders>
            <w:shd w:val="clear" w:color="auto" w:fill="BFBFBF"/>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项目内容</w:t>
            </w:r>
          </w:p>
        </w:tc>
        <w:tc>
          <w:tcPr>
            <w:tcW w:w="7365" w:type="dxa"/>
            <w:tcBorders>
              <w:top w:val="single" w:color="000000" w:sz="4" w:space="0"/>
              <w:left w:val="single" w:color="000000" w:sz="4" w:space="0"/>
              <w:bottom w:val="single" w:color="000000" w:sz="4" w:space="0"/>
              <w:right w:val="single" w:color="000000" w:sz="4" w:space="0"/>
            </w:tcBorders>
            <w:shd w:val="clear" w:color="auto" w:fill="BFBFBF"/>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功能描述</w:t>
            </w:r>
          </w:p>
        </w:tc>
        <w:tc>
          <w:tcPr>
            <w:tcW w:w="780" w:type="dxa"/>
            <w:tcBorders>
              <w:top w:val="single" w:color="000000" w:sz="4" w:space="0"/>
              <w:left w:val="single" w:color="000000" w:sz="4" w:space="0"/>
              <w:bottom w:val="single" w:color="000000" w:sz="4" w:space="0"/>
              <w:right w:val="single" w:color="000000" w:sz="4" w:space="0"/>
            </w:tcBorders>
            <w:shd w:val="clear" w:color="auto" w:fill="BFBFBF"/>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数量</w:t>
            </w:r>
            <w:r>
              <w:rPr>
                <w:rFonts w:ascii="宋体" w:hAnsi="宋体" w:cs="宋体"/>
                <w:b/>
                <w:bCs/>
                <w:kern w:val="0"/>
                <w:sz w:val="20"/>
                <w:szCs w:val="20"/>
              </w:rPr>
              <w:t>(套)</w:t>
            </w:r>
          </w:p>
        </w:tc>
      </w:tr>
      <w:tr>
        <w:tblPrEx>
          <w:tblLayout w:type="fixed"/>
          <w:tblCellMar>
            <w:top w:w="15" w:type="dxa"/>
            <w:left w:w="108" w:type="dxa"/>
            <w:bottom w:w="15" w:type="dxa"/>
            <w:right w:w="108" w:type="dxa"/>
          </w:tblCellMar>
        </w:tblPrEx>
        <w:trPr>
          <w:trHeight w:val="480"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备案管理</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车辆备案、车架备案、电子关锁备案、IC卡信息维护、集装箱类型维护、监管袋信息维护等；</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2</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舱单查询分析</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口岸舱单信息的订阅、查询、分析；</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3</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转关查询分析</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转关单信息的订阅、查询、分析；</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960"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4</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监管场所管理</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监管场所应有电子库位信息，可随时查询货物所在位置。应有货物存放时间、存放状态信息，存放状态包括：入场所未申报、申报未放行、待查验、暂扣货物、已放行待出场所、已处监管场所等。</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480"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5</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智能卡口系统接口</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接收智能卡口采集的硬件信息，进行电子单证比对，返回卡口相关指令、状态；</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6</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联动业务接口</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郑州关区内其他口岸、场所、特殊区域的联动；</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7</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查验货物管理</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接收海关的查验指令，并在系统中展示；</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8</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仓库出入库信息接口</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接收仓库管理系统的出入库信息，并返回相关的指令、状态；</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9</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电子放行接口</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订阅海关的报关单放行信息；</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10</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物流核放单管理</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在系统中实现物流核放单的申请，并接收海关的审批回执；</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11</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基础资料管理</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企业、车辆、IC卡、电子车牌等基础信息的维护；</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12</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权限管理</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系统账户、密码以及相关权限管理；</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405" w:hRule="atLeast"/>
        </w:trPr>
        <w:tc>
          <w:tcPr>
            <w:tcW w:w="9761" w:type="dxa"/>
            <w:gridSpan w:val="4"/>
            <w:vAlign w:val="center"/>
          </w:tcPr>
          <w:p>
            <w:pPr>
              <w:widowControl/>
              <w:jc w:val="left"/>
              <w:rPr>
                <w:rFonts w:ascii="宋体" w:hAnsi="宋体" w:cs="宋体"/>
                <w:b/>
                <w:bCs/>
                <w:kern w:val="0"/>
                <w:sz w:val="28"/>
                <w:szCs w:val="28"/>
              </w:rPr>
            </w:pPr>
            <w:r>
              <w:rPr>
                <w:rFonts w:hint="eastAsia" w:ascii="宋体" w:hAnsi="宋体" w:cs="宋体"/>
                <w:b/>
                <w:bCs/>
                <w:kern w:val="0"/>
                <w:sz w:val="28"/>
                <w:szCs w:val="28"/>
              </w:rPr>
              <w:t>跨境电商场站管理系</w:t>
            </w:r>
          </w:p>
        </w:tc>
      </w:tr>
      <w:tr>
        <w:tblPrEx>
          <w:tblLayout w:type="fixed"/>
          <w:tblCellMar>
            <w:top w:w="15" w:type="dxa"/>
            <w:left w:w="108" w:type="dxa"/>
            <w:bottom w:w="15" w:type="dxa"/>
            <w:right w:w="108" w:type="dxa"/>
          </w:tblCellMar>
        </w:tblPrEx>
        <w:trPr>
          <w:trHeight w:val="480" w:hRule="atLeast"/>
        </w:trPr>
        <w:tc>
          <w:tcPr>
            <w:tcW w:w="497" w:type="dxa"/>
            <w:tcBorders>
              <w:top w:val="single" w:color="000000" w:sz="4" w:space="0"/>
              <w:left w:val="single" w:color="000000" w:sz="4" w:space="0"/>
              <w:bottom w:val="single" w:color="000000" w:sz="4" w:space="0"/>
              <w:right w:val="single" w:color="000000" w:sz="4" w:space="0"/>
            </w:tcBorders>
            <w:shd w:val="clear" w:color="auto" w:fill="BFBFBF"/>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序号</w:t>
            </w:r>
          </w:p>
        </w:tc>
        <w:tc>
          <w:tcPr>
            <w:tcW w:w="1119" w:type="dxa"/>
            <w:tcBorders>
              <w:top w:val="single" w:color="000000" w:sz="4" w:space="0"/>
              <w:left w:val="single" w:color="000000" w:sz="4" w:space="0"/>
              <w:bottom w:val="single" w:color="000000" w:sz="4" w:space="0"/>
              <w:right w:val="single" w:color="000000" w:sz="4" w:space="0"/>
            </w:tcBorders>
            <w:shd w:val="clear" w:color="auto" w:fill="BFBFBF"/>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项目内容</w:t>
            </w:r>
          </w:p>
        </w:tc>
        <w:tc>
          <w:tcPr>
            <w:tcW w:w="7365" w:type="dxa"/>
            <w:tcBorders>
              <w:top w:val="single" w:color="000000" w:sz="4" w:space="0"/>
              <w:left w:val="single" w:color="000000" w:sz="4" w:space="0"/>
              <w:bottom w:val="single" w:color="000000" w:sz="4" w:space="0"/>
              <w:right w:val="single" w:color="000000" w:sz="4" w:space="0"/>
            </w:tcBorders>
            <w:shd w:val="clear" w:color="auto" w:fill="BFBFBF"/>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功能描述</w:t>
            </w:r>
          </w:p>
        </w:tc>
        <w:tc>
          <w:tcPr>
            <w:tcW w:w="780" w:type="dxa"/>
            <w:tcBorders>
              <w:top w:val="single" w:color="000000" w:sz="4" w:space="0"/>
              <w:left w:val="single" w:color="000000" w:sz="4" w:space="0"/>
              <w:bottom w:val="single" w:color="000000" w:sz="4" w:space="0"/>
              <w:right w:val="single" w:color="000000" w:sz="4" w:space="0"/>
            </w:tcBorders>
            <w:shd w:val="clear" w:color="auto" w:fill="BFBFBF"/>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数量</w:t>
            </w:r>
            <w:r>
              <w:rPr>
                <w:rFonts w:ascii="宋体" w:hAnsi="宋体" w:cs="宋体"/>
                <w:b/>
                <w:bCs/>
                <w:kern w:val="0"/>
                <w:sz w:val="20"/>
                <w:szCs w:val="20"/>
              </w:rPr>
              <w:t>(套)</w:t>
            </w:r>
          </w:p>
        </w:tc>
      </w:tr>
      <w:tr>
        <w:tblPrEx>
          <w:tblLayout w:type="fixed"/>
          <w:tblCellMar>
            <w:top w:w="15" w:type="dxa"/>
            <w:left w:w="108" w:type="dxa"/>
            <w:bottom w:w="15" w:type="dxa"/>
            <w:right w:w="108" w:type="dxa"/>
          </w:tblCellMar>
        </w:tblPrEx>
        <w:trPr>
          <w:trHeight w:val="480"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理货报告预报管理</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系统中维护理货预报的相关信息，并将电子数据发送至电子口岸跨境平台；</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480"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2</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理货报告理货管理</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系统中维护理货报告的相关信息，并将电子数据发送至电子口岸跨境平台；</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480"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3</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理货报告确报管理</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系统中维护理货报告确保的相关信息，并将电子数据发送至电子口岸跨境平台；</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480"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4</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未过安检分单录入</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未过安检的物流分单，通过系统录入，并将电子数据发送至电子口岸跨境平台；</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5</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理货报告回执</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接收电子口岸跨境平台返回的入库回执以及其他状态回执；</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6</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海关指令</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接收电子口岸跨境平台返回的入库回执以及其他海关指令；</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7</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检验检疫指令</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接收电子口岸跨境平台返回的入库回执以及其他国检指令；</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8</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放行指令查询</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接收电子口岸跨境平台返回的海关、国检放行指令；</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9</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布控查验指令</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接收电子口岸跨境平台返回的海关、国检布控、查验的指令；</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10</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拆包理货查询</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接收电子口岸跨境平台返回的海关、国检的拆包理货指令；</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11</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批次布控查询</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接收电子口岸跨境平台返回的海关、国检的批次布控指令；</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12</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前台界面展示</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系统各功能的前台展示、优化；</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13</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和跨境平台接口</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和电子口岸跨境平台的接口；</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14</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和</w:t>
            </w:r>
            <w:r>
              <w:rPr>
                <w:rFonts w:ascii="宋体" w:hAnsi="宋体" w:cs="宋体"/>
                <w:kern w:val="0"/>
                <w:sz w:val="20"/>
                <w:szCs w:val="20"/>
              </w:rPr>
              <w:t>PDA接口</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系统和PDA扫描枪的接口；</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15</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基础资料管理</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企业、币值、口岸、包装种类等相关资料的维护；</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16</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权限管理</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系统账号、密码以及相关权限管理；</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285" w:hRule="atLeast"/>
        </w:trPr>
        <w:tc>
          <w:tcPr>
            <w:tcW w:w="497"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17</w:t>
            </w:r>
          </w:p>
        </w:tc>
        <w:tc>
          <w:tcPr>
            <w:tcW w:w="1119"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费用管理</w:t>
            </w:r>
          </w:p>
        </w:tc>
        <w:tc>
          <w:tcPr>
            <w:tcW w:w="7365" w:type="dxa"/>
            <w:tcBorders>
              <w:top w:val="single" w:color="000000" w:sz="4" w:space="0"/>
              <w:left w:val="single" w:color="000000" w:sz="4" w:space="0"/>
              <w:bottom w:val="single" w:color="000000"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系统约价方案、费用结算方式等维护；</w:t>
            </w:r>
          </w:p>
        </w:tc>
        <w:tc>
          <w:tcPr>
            <w:tcW w:w="78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bl>
    <w:p>
      <w:pPr>
        <w:spacing w:line="360" w:lineRule="auto"/>
        <w:rPr>
          <w:rFonts w:hint="eastAsia" w:ascii="宋体" w:hAnsi="宋体" w:cs="宋体"/>
          <w:b/>
          <w:sz w:val="24"/>
        </w:rPr>
      </w:pPr>
    </w:p>
    <w:p>
      <w:pPr>
        <w:spacing w:line="360" w:lineRule="auto"/>
        <w:rPr>
          <w:rFonts w:hint="eastAsia" w:ascii="宋体" w:hAnsi="宋体" w:cs="宋体"/>
          <w:b/>
          <w:sz w:val="24"/>
        </w:rPr>
      </w:pPr>
    </w:p>
    <w:tbl>
      <w:tblPr>
        <w:tblStyle w:val="12"/>
        <w:tblW w:w="9980" w:type="dxa"/>
        <w:jc w:val="center"/>
        <w:tblInd w:w="0" w:type="dxa"/>
        <w:tblLayout w:type="fixed"/>
        <w:tblCellMar>
          <w:top w:w="0" w:type="dxa"/>
          <w:left w:w="108" w:type="dxa"/>
          <w:bottom w:w="0" w:type="dxa"/>
          <w:right w:w="108" w:type="dxa"/>
        </w:tblCellMar>
      </w:tblPr>
      <w:tblGrid>
        <w:gridCol w:w="520"/>
        <w:gridCol w:w="1620"/>
        <w:gridCol w:w="5200"/>
        <w:gridCol w:w="600"/>
        <w:gridCol w:w="800"/>
        <w:gridCol w:w="1240"/>
      </w:tblGrid>
      <w:tr>
        <w:tblPrEx>
          <w:tblLayout w:type="fixed"/>
          <w:tblCellMar>
            <w:top w:w="0" w:type="dxa"/>
            <w:left w:w="108" w:type="dxa"/>
            <w:bottom w:w="0" w:type="dxa"/>
            <w:right w:w="108" w:type="dxa"/>
          </w:tblCellMar>
        </w:tblPrEx>
        <w:trPr>
          <w:trHeight w:val="600" w:hRule="atLeast"/>
          <w:jc w:val="center"/>
        </w:trPr>
        <w:tc>
          <w:tcPr>
            <w:tcW w:w="9980" w:type="dxa"/>
            <w:gridSpan w:val="6"/>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b/>
                <w:bCs/>
                <w:kern w:val="0"/>
                <w:sz w:val="20"/>
                <w:szCs w:val="20"/>
              </w:rPr>
            </w:pPr>
            <w:r>
              <w:rPr>
                <w:rFonts w:hint="eastAsia" w:ascii="宋体" w:hAnsi="宋体" w:cs="宋体"/>
                <w:b/>
                <w:bCs/>
                <w:kern w:val="0"/>
                <w:sz w:val="24"/>
              </w:rPr>
              <w:t>机房及配套设备</w:t>
            </w:r>
          </w:p>
        </w:tc>
      </w:tr>
      <w:tr>
        <w:tblPrEx>
          <w:tblLayout w:type="fixed"/>
          <w:tblCellMar>
            <w:top w:w="0" w:type="dxa"/>
            <w:left w:w="108" w:type="dxa"/>
            <w:bottom w:w="0" w:type="dxa"/>
            <w:right w:w="108" w:type="dxa"/>
          </w:tblCellMar>
        </w:tblPrEx>
        <w:trPr>
          <w:trHeight w:val="600" w:hRule="atLeast"/>
          <w:jc w:val="center"/>
        </w:trPr>
        <w:tc>
          <w:tcPr>
            <w:tcW w:w="520" w:type="dxa"/>
            <w:tcBorders>
              <w:top w:val="nil"/>
              <w:left w:val="single" w:color="auto" w:sz="4" w:space="0"/>
              <w:bottom w:val="single" w:color="auto" w:sz="4" w:space="0"/>
              <w:right w:val="single" w:color="auto" w:sz="4" w:space="0"/>
            </w:tcBorders>
            <w:shd w:val="clear" w:color="000000" w:fill="BFBFBF"/>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序号</w:t>
            </w:r>
          </w:p>
        </w:tc>
        <w:tc>
          <w:tcPr>
            <w:tcW w:w="1620" w:type="dxa"/>
            <w:tcBorders>
              <w:top w:val="nil"/>
              <w:left w:val="nil"/>
              <w:bottom w:val="single" w:color="auto" w:sz="4" w:space="0"/>
              <w:right w:val="single" w:color="auto" w:sz="4" w:space="0"/>
            </w:tcBorders>
            <w:shd w:val="clear" w:color="000000" w:fill="BFBFBF"/>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硬件名称</w:t>
            </w:r>
          </w:p>
        </w:tc>
        <w:tc>
          <w:tcPr>
            <w:tcW w:w="5200" w:type="dxa"/>
            <w:tcBorders>
              <w:top w:val="nil"/>
              <w:left w:val="nil"/>
              <w:bottom w:val="single" w:color="auto" w:sz="4" w:space="0"/>
              <w:right w:val="single" w:color="auto" w:sz="4" w:space="0"/>
            </w:tcBorders>
            <w:shd w:val="clear" w:color="000000" w:fill="BFBFBF"/>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设备参数</w:t>
            </w:r>
          </w:p>
        </w:tc>
        <w:tc>
          <w:tcPr>
            <w:tcW w:w="600" w:type="dxa"/>
            <w:tcBorders>
              <w:top w:val="nil"/>
              <w:left w:val="nil"/>
              <w:bottom w:val="single" w:color="auto" w:sz="4" w:space="0"/>
              <w:right w:val="single" w:color="auto" w:sz="4" w:space="0"/>
            </w:tcBorders>
            <w:shd w:val="clear" w:color="000000" w:fill="BFBFBF"/>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数量</w:t>
            </w:r>
          </w:p>
        </w:tc>
        <w:tc>
          <w:tcPr>
            <w:tcW w:w="800" w:type="dxa"/>
            <w:tcBorders>
              <w:top w:val="nil"/>
              <w:left w:val="nil"/>
              <w:bottom w:val="single" w:color="auto" w:sz="4" w:space="0"/>
              <w:right w:val="single" w:color="auto" w:sz="4" w:space="0"/>
            </w:tcBorders>
            <w:shd w:val="clear" w:color="000000" w:fill="BFBFBF"/>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单位</w:t>
            </w:r>
          </w:p>
        </w:tc>
        <w:tc>
          <w:tcPr>
            <w:tcW w:w="1240" w:type="dxa"/>
            <w:tcBorders>
              <w:top w:val="nil"/>
              <w:left w:val="nil"/>
              <w:bottom w:val="single" w:color="auto" w:sz="4" w:space="0"/>
              <w:right w:val="single" w:color="auto" w:sz="4" w:space="0"/>
            </w:tcBorders>
            <w:shd w:val="clear" w:color="000000" w:fill="BFBFBF"/>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备注</w:t>
            </w:r>
          </w:p>
        </w:tc>
      </w:tr>
      <w:tr>
        <w:tblPrEx>
          <w:tblLayout w:type="fixed"/>
          <w:tblCellMar>
            <w:top w:w="0" w:type="dxa"/>
            <w:left w:w="108" w:type="dxa"/>
            <w:bottom w:w="0" w:type="dxa"/>
            <w:right w:w="108" w:type="dxa"/>
          </w:tblCellMar>
        </w:tblPrEx>
        <w:trPr>
          <w:trHeight w:val="600" w:hRule="atLeast"/>
          <w:jc w:val="center"/>
        </w:trPr>
        <w:tc>
          <w:tcPr>
            <w:tcW w:w="9980" w:type="dxa"/>
            <w:gridSpan w:val="6"/>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b/>
                <w:bCs/>
                <w:kern w:val="0"/>
                <w:sz w:val="20"/>
                <w:szCs w:val="20"/>
              </w:rPr>
            </w:pPr>
            <w:r>
              <w:rPr>
                <w:rFonts w:hint="eastAsia" w:ascii="宋体" w:hAnsi="宋体" w:cs="宋体"/>
                <w:b/>
                <w:bCs/>
                <w:kern w:val="0"/>
                <w:sz w:val="20"/>
                <w:szCs w:val="20"/>
              </w:rPr>
              <w:t>一、园区机房部分硬件设备采购</w:t>
            </w:r>
          </w:p>
        </w:tc>
      </w:tr>
      <w:tr>
        <w:tblPrEx>
          <w:tblLayout w:type="fixed"/>
          <w:tblCellMar>
            <w:top w:w="0" w:type="dxa"/>
            <w:left w:w="108" w:type="dxa"/>
            <w:bottom w:w="0" w:type="dxa"/>
            <w:right w:w="108" w:type="dxa"/>
          </w:tblCellMar>
        </w:tblPrEx>
        <w:trPr>
          <w:trHeight w:val="900"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16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WEB服务器</w:t>
            </w:r>
          </w:p>
        </w:tc>
        <w:tc>
          <w:tcPr>
            <w:tcW w:w="5200" w:type="dxa"/>
            <w:tcBorders>
              <w:top w:val="nil"/>
              <w:left w:val="nil"/>
              <w:bottom w:val="single" w:color="auto" w:sz="4" w:space="0"/>
              <w:right w:val="single" w:color="auto" w:sz="4" w:space="0"/>
            </w:tcBorders>
            <w:shd w:val="clear" w:color="auto" w:fill="auto"/>
            <w:vAlign w:val="center"/>
          </w:tcPr>
          <w:p>
            <w:pPr>
              <w:widowControl/>
              <w:rPr>
                <w:rFonts w:hint="eastAsia" w:ascii="宋体" w:hAnsi="宋体" w:cs="宋体"/>
                <w:kern w:val="0"/>
                <w:sz w:val="20"/>
                <w:szCs w:val="20"/>
              </w:rPr>
            </w:pPr>
            <w:r>
              <w:rPr>
                <w:rFonts w:hint="eastAsia" w:ascii="宋体" w:hAnsi="宋体" w:cs="宋体"/>
                <w:kern w:val="0"/>
                <w:sz w:val="20"/>
                <w:szCs w:val="20"/>
              </w:rPr>
              <w:t>2U机架式,</w:t>
            </w:r>
          </w:p>
          <w:p>
            <w:pPr>
              <w:widowControl/>
              <w:rPr>
                <w:rFonts w:hint="eastAsia" w:ascii="宋体" w:hAnsi="宋体" w:cs="宋体"/>
                <w:kern w:val="0"/>
                <w:sz w:val="20"/>
                <w:szCs w:val="20"/>
              </w:rPr>
            </w:pPr>
            <w:r>
              <w:rPr>
                <w:rFonts w:hint="eastAsia" w:ascii="宋体" w:hAnsi="宋体" w:cs="宋体"/>
                <w:kern w:val="0"/>
                <w:sz w:val="20"/>
                <w:szCs w:val="20"/>
              </w:rPr>
              <w:t>*CPU:2*Intel Xeon E5-2640 V2 8核；</w:t>
            </w:r>
          </w:p>
          <w:p>
            <w:pPr>
              <w:widowControl/>
              <w:rPr>
                <w:rFonts w:ascii="宋体" w:hAnsi="宋体" w:cs="宋体"/>
                <w:kern w:val="0"/>
                <w:sz w:val="20"/>
                <w:szCs w:val="20"/>
              </w:rPr>
            </w:pPr>
            <w:r>
              <w:rPr>
                <w:rFonts w:hint="eastAsia" w:ascii="宋体" w:hAnsi="宋体" w:cs="宋体"/>
                <w:kern w:val="0"/>
                <w:sz w:val="20"/>
                <w:szCs w:val="20"/>
              </w:rPr>
              <w:t>内存:64G DDR3,硬盘:2*300G,网卡:4个千兆口,电源：2*460AC，自带光驱.</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960"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162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数据库服务器</w:t>
            </w:r>
          </w:p>
        </w:tc>
        <w:tc>
          <w:tcPr>
            <w:tcW w:w="5200" w:type="dxa"/>
            <w:tcBorders>
              <w:top w:val="nil"/>
              <w:left w:val="nil"/>
              <w:bottom w:val="single" w:color="auto" w:sz="4" w:space="0"/>
              <w:right w:val="single" w:color="auto" w:sz="4" w:space="0"/>
            </w:tcBorders>
            <w:shd w:val="clear" w:color="auto" w:fill="auto"/>
            <w:vAlign w:val="center"/>
          </w:tcPr>
          <w:p>
            <w:pPr>
              <w:widowControl/>
              <w:rPr>
                <w:rFonts w:hint="eastAsia" w:ascii="宋体" w:hAnsi="宋体" w:cs="宋体"/>
                <w:kern w:val="0"/>
                <w:sz w:val="20"/>
                <w:szCs w:val="20"/>
              </w:rPr>
            </w:pPr>
            <w:r>
              <w:rPr>
                <w:rFonts w:hint="eastAsia" w:ascii="宋体" w:hAnsi="宋体" w:cs="宋体"/>
                <w:kern w:val="0"/>
                <w:sz w:val="20"/>
                <w:szCs w:val="20"/>
              </w:rPr>
              <w:t>4U机架式,</w:t>
            </w:r>
          </w:p>
          <w:p>
            <w:pPr>
              <w:widowControl/>
              <w:rPr>
                <w:rFonts w:hint="eastAsia" w:ascii="宋体" w:hAnsi="宋体" w:cs="宋体"/>
                <w:kern w:val="0"/>
                <w:sz w:val="20"/>
                <w:szCs w:val="20"/>
              </w:rPr>
            </w:pPr>
            <w:r>
              <w:rPr>
                <w:rFonts w:hint="eastAsia" w:ascii="宋体" w:hAnsi="宋体" w:cs="宋体"/>
                <w:kern w:val="0"/>
                <w:sz w:val="20"/>
                <w:szCs w:val="20"/>
              </w:rPr>
              <w:t>*CPU:4*Intel Xeon E7-4809v2 6核；</w:t>
            </w:r>
          </w:p>
          <w:p>
            <w:pPr>
              <w:widowControl/>
              <w:rPr>
                <w:rFonts w:ascii="宋体" w:hAnsi="宋体" w:cs="宋体"/>
                <w:kern w:val="0"/>
                <w:sz w:val="20"/>
                <w:szCs w:val="20"/>
              </w:rPr>
            </w:pPr>
            <w:r>
              <w:rPr>
                <w:rFonts w:hint="eastAsia" w:ascii="宋体" w:hAnsi="宋体" w:cs="宋体"/>
                <w:kern w:val="0"/>
                <w:sz w:val="20"/>
                <w:szCs w:val="20"/>
              </w:rPr>
              <w:t>内存:128G DDR3,硬盘:2*300G,网卡:4个千兆口,电源:2*460AC,HBA:2*8G，自带光驱</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915"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162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交换服务器</w:t>
            </w:r>
          </w:p>
        </w:tc>
        <w:tc>
          <w:tcPr>
            <w:tcW w:w="5200" w:type="dxa"/>
            <w:tcBorders>
              <w:top w:val="nil"/>
              <w:left w:val="nil"/>
              <w:bottom w:val="single" w:color="auto" w:sz="4" w:space="0"/>
              <w:right w:val="single" w:color="auto" w:sz="4" w:space="0"/>
            </w:tcBorders>
            <w:shd w:val="clear" w:color="auto" w:fill="auto"/>
            <w:vAlign w:val="center"/>
          </w:tcPr>
          <w:p>
            <w:pPr>
              <w:widowControl/>
              <w:rPr>
                <w:rFonts w:hint="eastAsia" w:ascii="宋体" w:hAnsi="宋体" w:cs="宋体"/>
                <w:kern w:val="0"/>
                <w:sz w:val="20"/>
                <w:szCs w:val="20"/>
              </w:rPr>
            </w:pPr>
            <w:r>
              <w:rPr>
                <w:rFonts w:hint="eastAsia" w:ascii="宋体" w:hAnsi="宋体" w:cs="宋体"/>
                <w:kern w:val="0"/>
                <w:sz w:val="20"/>
                <w:szCs w:val="20"/>
              </w:rPr>
              <w:t>2U机架式,</w:t>
            </w:r>
          </w:p>
          <w:p>
            <w:pPr>
              <w:widowControl/>
              <w:rPr>
                <w:rFonts w:hint="eastAsia" w:ascii="宋体" w:hAnsi="宋体" w:cs="宋体"/>
                <w:kern w:val="0"/>
                <w:sz w:val="20"/>
                <w:szCs w:val="20"/>
              </w:rPr>
            </w:pPr>
            <w:r>
              <w:rPr>
                <w:rFonts w:hint="eastAsia" w:ascii="宋体" w:hAnsi="宋体" w:cs="宋体"/>
                <w:kern w:val="0"/>
                <w:sz w:val="20"/>
                <w:szCs w:val="20"/>
              </w:rPr>
              <w:t>*CPU:2*Intel Xeon E5-2640 V2 8核；</w:t>
            </w:r>
          </w:p>
          <w:p>
            <w:pPr>
              <w:widowControl/>
              <w:rPr>
                <w:rFonts w:ascii="宋体" w:hAnsi="宋体" w:cs="宋体"/>
                <w:kern w:val="0"/>
                <w:sz w:val="20"/>
                <w:szCs w:val="20"/>
              </w:rPr>
            </w:pPr>
            <w:r>
              <w:rPr>
                <w:rFonts w:hint="eastAsia" w:ascii="宋体" w:hAnsi="宋体" w:cs="宋体"/>
                <w:kern w:val="0"/>
                <w:sz w:val="20"/>
                <w:szCs w:val="20"/>
              </w:rPr>
              <w:t>内存:64G DDR3,硬盘:2*300G,网卡:4个千兆口,电源：2*460AC，自带光驱.</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975"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c>
          <w:tcPr>
            <w:tcW w:w="162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磁盘阵列柜</w:t>
            </w:r>
          </w:p>
        </w:tc>
        <w:tc>
          <w:tcPr>
            <w:tcW w:w="5200" w:type="dxa"/>
            <w:tcBorders>
              <w:top w:val="nil"/>
              <w:left w:val="nil"/>
              <w:bottom w:val="single" w:color="auto" w:sz="4" w:space="0"/>
              <w:right w:val="single" w:color="auto" w:sz="4" w:space="0"/>
            </w:tcBorders>
            <w:shd w:val="clear" w:color="auto" w:fill="auto"/>
            <w:vAlign w:val="center"/>
          </w:tcPr>
          <w:p>
            <w:pPr>
              <w:widowControl/>
              <w:rPr>
                <w:rFonts w:hint="eastAsia" w:ascii="宋体" w:hAnsi="宋体" w:cs="宋体"/>
                <w:kern w:val="0"/>
                <w:sz w:val="20"/>
                <w:szCs w:val="20"/>
              </w:rPr>
            </w:pPr>
            <w:r>
              <w:rPr>
                <w:rFonts w:hint="eastAsia" w:ascii="宋体" w:hAnsi="宋体" w:cs="宋体"/>
                <w:kern w:val="0"/>
                <w:sz w:val="20"/>
                <w:szCs w:val="20"/>
              </w:rPr>
              <w:t>*缓存:24GB；</w:t>
            </w:r>
          </w:p>
          <w:p>
            <w:pPr>
              <w:widowControl/>
              <w:rPr>
                <w:rFonts w:ascii="宋体" w:hAnsi="宋体" w:cs="宋体"/>
                <w:kern w:val="0"/>
                <w:sz w:val="20"/>
                <w:szCs w:val="20"/>
              </w:rPr>
            </w:pPr>
            <w:r>
              <w:rPr>
                <w:rFonts w:hint="eastAsia" w:ascii="宋体" w:hAnsi="宋体" w:cs="宋体"/>
                <w:kern w:val="0"/>
                <w:sz w:val="20"/>
                <w:szCs w:val="20"/>
              </w:rPr>
              <w:t>主机端口:8个8Gb/s FC接口、4*24G SAS后端口,硬盘:12*600G,电源：2*800W。</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600"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c>
          <w:tcPr>
            <w:tcW w:w="162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SAN交换机</w:t>
            </w:r>
          </w:p>
        </w:tc>
        <w:tc>
          <w:tcPr>
            <w:tcW w:w="5200" w:type="dxa"/>
            <w:tcBorders>
              <w:top w:val="nil"/>
              <w:left w:val="nil"/>
              <w:bottom w:val="single" w:color="auto" w:sz="4" w:space="0"/>
              <w:right w:val="single" w:color="auto" w:sz="4" w:space="0"/>
            </w:tcBorders>
            <w:shd w:val="clear" w:color="auto" w:fill="auto"/>
            <w:vAlign w:val="center"/>
          </w:tcPr>
          <w:p>
            <w:pPr>
              <w:widowControl/>
              <w:rPr>
                <w:rFonts w:ascii="宋体" w:hAnsi="宋体" w:cs="宋体"/>
                <w:kern w:val="0"/>
                <w:sz w:val="20"/>
                <w:szCs w:val="20"/>
              </w:rPr>
            </w:pPr>
            <w:r>
              <w:rPr>
                <w:rFonts w:hint="eastAsia" w:ascii="宋体" w:hAnsi="宋体" w:cs="宋体"/>
                <w:kern w:val="0"/>
                <w:sz w:val="20"/>
                <w:szCs w:val="20"/>
              </w:rPr>
              <w:t>端口:24口,配备8端口许可及8端口8Gb SFP模块.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1005" w:hRule="atLeast"/>
          <w:jc w:val="center"/>
        </w:trPr>
        <w:tc>
          <w:tcPr>
            <w:tcW w:w="52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c>
          <w:tcPr>
            <w:tcW w:w="1620"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核心交换机</w:t>
            </w:r>
          </w:p>
        </w:tc>
        <w:tc>
          <w:tcPr>
            <w:tcW w:w="52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rPr>
                <w:rFonts w:hint="eastAsia" w:ascii="宋体" w:hAnsi="宋体" w:cs="宋体"/>
                <w:kern w:val="0"/>
                <w:sz w:val="20"/>
                <w:szCs w:val="20"/>
              </w:rPr>
            </w:pPr>
            <w:r>
              <w:rPr>
                <w:rFonts w:hint="eastAsia" w:ascii="宋体" w:hAnsi="宋体" w:cs="宋体"/>
                <w:kern w:val="0"/>
                <w:sz w:val="20"/>
                <w:szCs w:val="20"/>
              </w:rPr>
              <w:t>置冗余交流电源，千兆以太网电接口24个；</w:t>
            </w:r>
          </w:p>
          <w:p>
            <w:pPr>
              <w:widowControl/>
              <w:rPr>
                <w:rFonts w:hint="eastAsia" w:ascii="宋体" w:hAnsi="宋体" w:cs="宋体"/>
                <w:kern w:val="0"/>
                <w:sz w:val="20"/>
                <w:szCs w:val="20"/>
              </w:rPr>
            </w:pPr>
            <w:r>
              <w:rPr>
                <w:rFonts w:hint="eastAsia" w:ascii="宋体" w:hAnsi="宋体" w:cs="宋体"/>
                <w:kern w:val="0"/>
                <w:sz w:val="20"/>
                <w:szCs w:val="20"/>
              </w:rPr>
              <w:t>*万兆以太网光接口4个；</w:t>
            </w:r>
          </w:p>
          <w:p>
            <w:pPr>
              <w:widowControl/>
              <w:rPr>
                <w:rFonts w:ascii="宋体" w:hAnsi="宋体" w:cs="宋体"/>
                <w:kern w:val="0"/>
                <w:sz w:val="20"/>
                <w:szCs w:val="20"/>
              </w:rPr>
            </w:pPr>
            <w:r>
              <w:rPr>
                <w:rFonts w:hint="eastAsia" w:ascii="宋体" w:hAnsi="宋体" w:cs="宋体"/>
                <w:kern w:val="0"/>
                <w:sz w:val="20"/>
                <w:szCs w:val="20"/>
              </w:rPr>
              <w:t>配置原厂商光模块：2个千兆多模光模块。</w:t>
            </w:r>
          </w:p>
        </w:tc>
        <w:tc>
          <w:tcPr>
            <w:tcW w:w="6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80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240" w:type="dxa"/>
            <w:tcBorders>
              <w:top w:val="single" w:color="auto" w:sz="4" w:space="0"/>
              <w:left w:val="single" w:color="auto" w:sz="4" w:space="0"/>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600" w:hRule="atLeast"/>
          <w:jc w:val="center"/>
        </w:trPr>
        <w:tc>
          <w:tcPr>
            <w:tcW w:w="52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7</w:t>
            </w:r>
          </w:p>
        </w:tc>
        <w:tc>
          <w:tcPr>
            <w:tcW w:w="1620" w:type="dxa"/>
            <w:tcBorders>
              <w:top w:val="single" w:color="auto" w:sz="4" w:space="0"/>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接入层交换机</w:t>
            </w:r>
          </w:p>
        </w:tc>
        <w:tc>
          <w:tcPr>
            <w:tcW w:w="5200" w:type="dxa"/>
            <w:tcBorders>
              <w:top w:val="single" w:color="auto" w:sz="4" w:space="0"/>
              <w:left w:val="nil"/>
              <w:bottom w:val="single" w:color="auto" w:sz="4" w:space="0"/>
              <w:right w:val="single" w:color="auto" w:sz="4" w:space="0"/>
            </w:tcBorders>
            <w:shd w:val="clear" w:color="auto" w:fill="auto"/>
            <w:vAlign w:val="center"/>
          </w:tcPr>
          <w:p>
            <w:pPr>
              <w:widowControl/>
              <w:rPr>
                <w:rFonts w:ascii="宋体" w:hAnsi="宋体" w:cs="宋体"/>
                <w:kern w:val="0"/>
                <w:sz w:val="20"/>
                <w:szCs w:val="20"/>
              </w:rPr>
            </w:pPr>
            <w:r>
              <w:rPr>
                <w:rFonts w:hint="eastAsia" w:ascii="宋体" w:hAnsi="宋体" w:cs="宋体"/>
                <w:kern w:val="0"/>
                <w:sz w:val="20"/>
                <w:szCs w:val="20"/>
              </w:rPr>
              <w:t>52端口含2个千兆单模光模块，可启用三层交换协议。</w:t>
            </w:r>
          </w:p>
        </w:tc>
        <w:tc>
          <w:tcPr>
            <w:tcW w:w="600"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800"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240" w:type="dxa"/>
            <w:tcBorders>
              <w:top w:val="single" w:color="auto" w:sz="4" w:space="0"/>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900"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8</w:t>
            </w:r>
          </w:p>
        </w:tc>
        <w:tc>
          <w:tcPr>
            <w:tcW w:w="162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防火墙</w:t>
            </w:r>
          </w:p>
        </w:tc>
        <w:tc>
          <w:tcPr>
            <w:tcW w:w="5200" w:type="dxa"/>
            <w:tcBorders>
              <w:top w:val="nil"/>
              <w:left w:val="nil"/>
              <w:bottom w:val="single" w:color="auto" w:sz="4" w:space="0"/>
              <w:right w:val="single" w:color="auto" w:sz="4" w:space="0"/>
            </w:tcBorders>
            <w:shd w:val="clear" w:color="auto" w:fill="auto"/>
            <w:vAlign w:val="center"/>
          </w:tcPr>
          <w:p>
            <w:pPr>
              <w:widowControl/>
              <w:rPr>
                <w:rFonts w:hint="eastAsia" w:ascii="宋体" w:hAnsi="宋体" w:cs="宋体"/>
                <w:kern w:val="0"/>
                <w:sz w:val="20"/>
                <w:szCs w:val="20"/>
              </w:rPr>
            </w:pPr>
            <w:r>
              <w:rPr>
                <w:rFonts w:hint="eastAsia" w:ascii="宋体" w:hAnsi="宋体" w:cs="宋体"/>
                <w:kern w:val="0"/>
                <w:sz w:val="20"/>
                <w:szCs w:val="20"/>
              </w:rPr>
              <w:t>*1U4个10/100/1000BASE-T接口；</w:t>
            </w:r>
          </w:p>
          <w:p>
            <w:pPr>
              <w:widowControl/>
              <w:rPr>
                <w:rFonts w:hint="eastAsia" w:ascii="宋体" w:hAnsi="宋体" w:cs="宋体"/>
                <w:kern w:val="0"/>
                <w:sz w:val="20"/>
                <w:szCs w:val="20"/>
              </w:rPr>
            </w:pPr>
            <w:r>
              <w:rPr>
                <w:rFonts w:hint="eastAsia" w:ascii="宋体" w:hAnsi="宋体" w:cs="宋体"/>
                <w:kern w:val="0"/>
                <w:sz w:val="20"/>
                <w:szCs w:val="20"/>
              </w:rPr>
              <w:t>*整机吞吐率≥1Gbps；</w:t>
            </w:r>
          </w:p>
          <w:p>
            <w:pPr>
              <w:widowControl/>
              <w:rPr>
                <w:rFonts w:ascii="宋体" w:hAnsi="宋体" w:cs="宋体"/>
                <w:kern w:val="0"/>
                <w:sz w:val="20"/>
                <w:szCs w:val="20"/>
              </w:rPr>
            </w:pPr>
            <w:r>
              <w:rPr>
                <w:rFonts w:hint="eastAsia" w:ascii="宋体" w:hAnsi="宋体" w:cs="宋体"/>
                <w:kern w:val="0"/>
                <w:sz w:val="20"/>
                <w:szCs w:val="20"/>
              </w:rPr>
              <w:t>最大并发连接数≥100万，IPSECVPN功能 IDP入侵防御功能</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600"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9</w:t>
            </w:r>
          </w:p>
        </w:tc>
        <w:tc>
          <w:tcPr>
            <w:tcW w:w="162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KVM</w:t>
            </w:r>
          </w:p>
        </w:tc>
        <w:tc>
          <w:tcPr>
            <w:tcW w:w="5200" w:type="dxa"/>
            <w:tcBorders>
              <w:top w:val="nil"/>
              <w:left w:val="nil"/>
              <w:bottom w:val="single" w:color="auto" w:sz="4" w:space="0"/>
              <w:right w:val="single" w:color="auto" w:sz="4" w:space="0"/>
            </w:tcBorders>
            <w:shd w:val="clear" w:color="auto" w:fill="auto"/>
            <w:vAlign w:val="center"/>
          </w:tcPr>
          <w:p>
            <w:pPr>
              <w:widowControl/>
              <w:rPr>
                <w:rFonts w:ascii="宋体" w:hAnsi="宋体" w:cs="宋体"/>
                <w:kern w:val="0"/>
                <w:sz w:val="20"/>
                <w:szCs w:val="20"/>
              </w:rPr>
            </w:pPr>
            <w:r>
              <w:rPr>
                <w:rFonts w:hint="eastAsia" w:ascii="宋体" w:hAnsi="宋体" w:cs="宋体"/>
                <w:kern w:val="0"/>
                <w:sz w:val="20"/>
                <w:szCs w:val="20"/>
              </w:rPr>
              <w:t>屏幕尺寸：17寸,16个VGA口,PS2/USB双界面转换模组.</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600"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10</w:t>
            </w:r>
          </w:p>
        </w:tc>
        <w:tc>
          <w:tcPr>
            <w:tcW w:w="16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42U服务机柜</w:t>
            </w:r>
          </w:p>
        </w:tc>
        <w:tc>
          <w:tcPr>
            <w:tcW w:w="5200" w:type="dxa"/>
            <w:tcBorders>
              <w:top w:val="nil"/>
              <w:left w:val="nil"/>
              <w:bottom w:val="single" w:color="auto" w:sz="4" w:space="0"/>
              <w:right w:val="single" w:color="auto" w:sz="4" w:space="0"/>
            </w:tcBorders>
            <w:shd w:val="clear" w:color="auto" w:fill="auto"/>
            <w:vAlign w:val="center"/>
          </w:tcPr>
          <w:p>
            <w:pPr>
              <w:widowControl/>
              <w:rPr>
                <w:rFonts w:ascii="宋体" w:hAnsi="宋体" w:cs="宋体"/>
                <w:kern w:val="0"/>
                <w:sz w:val="20"/>
                <w:szCs w:val="20"/>
              </w:rPr>
            </w:pPr>
            <w:r>
              <w:rPr>
                <w:rFonts w:hint="eastAsia" w:ascii="宋体" w:hAnsi="宋体" w:cs="宋体"/>
                <w:kern w:val="0"/>
                <w:sz w:val="20"/>
                <w:szCs w:val="20"/>
              </w:rPr>
              <w:t>42U(含3个8口PDU)</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600"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11</w:t>
            </w:r>
          </w:p>
        </w:tc>
        <w:tc>
          <w:tcPr>
            <w:tcW w:w="16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网络机柜</w:t>
            </w:r>
          </w:p>
        </w:tc>
        <w:tc>
          <w:tcPr>
            <w:tcW w:w="5200" w:type="dxa"/>
            <w:tcBorders>
              <w:top w:val="nil"/>
              <w:left w:val="nil"/>
              <w:bottom w:val="single" w:color="auto" w:sz="4" w:space="0"/>
              <w:right w:val="single" w:color="auto" w:sz="4" w:space="0"/>
            </w:tcBorders>
            <w:shd w:val="clear" w:color="auto" w:fill="auto"/>
            <w:vAlign w:val="center"/>
          </w:tcPr>
          <w:p>
            <w:pPr>
              <w:widowControl/>
              <w:rPr>
                <w:rFonts w:ascii="宋体" w:hAnsi="宋体" w:cs="宋体"/>
                <w:kern w:val="0"/>
                <w:sz w:val="20"/>
                <w:szCs w:val="20"/>
              </w:rPr>
            </w:pPr>
            <w:r>
              <w:rPr>
                <w:rFonts w:hint="eastAsia" w:ascii="宋体" w:hAnsi="宋体" w:cs="宋体"/>
                <w:kern w:val="0"/>
                <w:sz w:val="20"/>
                <w:szCs w:val="20"/>
              </w:rPr>
              <w:t>42U(含3个8口PDU)</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600" w:hRule="atLeast"/>
          <w:jc w:val="center"/>
        </w:trPr>
        <w:tc>
          <w:tcPr>
            <w:tcW w:w="9980" w:type="dxa"/>
            <w:gridSpan w:val="6"/>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b/>
                <w:bCs/>
                <w:kern w:val="0"/>
                <w:sz w:val="20"/>
                <w:szCs w:val="20"/>
              </w:rPr>
            </w:pPr>
            <w:r>
              <w:rPr>
                <w:rFonts w:hint="eastAsia" w:ascii="宋体" w:hAnsi="宋体" w:cs="宋体"/>
                <w:b/>
                <w:bCs/>
                <w:kern w:val="0"/>
                <w:sz w:val="20"/>
                <w:szCs w:val="20"/>
              </w:rPr>
              <w:t>二、海关机房部分</w:t>
            </w:r>
          </w:p>
        </w:tc>
      </w:tr>
      <w:tr>
        <w:tblPrEx>
          <w:tblLayout w:type="fixed"/>
          <w:tblCellMar>
            <w:top w:w="0" w:type="dxa"/>
            <w:left w:w="108" w:type="dxa"/>
            <w:bottom w:w="0" w:type="dxa"/>
            <w:right w:w="108" w:type="dxa"/>
          </w:tblCellMar>
        </w:tblPrEx>
        <w:trPr>
          <w:trHeight w:val="780"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162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核心交换机</w:t>
            </w:r>
          </w:p>
        </w:tc>
        <w:tc>
          <w:tcPr>
            <w:tcW w:w="5200" w:type="dxa"/>
            <w:tcBorders>
              <w:top w:val="nil"/>
              <w:left w:val="nil"/>
              <w:bottom w:val="single" w:color="auto" w:sz="4" w:space="0"/>
              <w:right w:val="single" w:color="auto" w:sz="4" w:space="0"/>
            </w:tcBorders>
            <w:shd w:val="clear" w:color="auto" w:fill="auto"/>
            <w:vAlign w:val="center"/>
          </w:tcPr>
          <w:p>
            <w:pPr>
              <w:widowControl/>
              <w:rPr>
                <w:rFonts w:ascii="宋体" w:hAnsi="宋体" w:cs="宋体"/>
                <w:kern w:val="0"/>
                <w:sz w:val="20"/>
                <w:szCs w:val="20"/>
              </w:rPr>
            </w:pPr>
            <w:r>
              <w:rPr>
                <w:rFonts w:hint="eastAsia" w:ascii="宋体" w:hAnsi="宋体" w:cs="宋体"/>
                <w:kern w:val="0"/>
                <w:sz w:val="20"/>
                <w:szCs w:val="20"/>
              </w:rPr>
              <w:t>置冗余交流电源，千兆以太网电接口24个，万兆以太网光接口4个，配置原厂商光模块：2个千兆多模光模块。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600"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162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接入层路由器</w:t>
            </w:r>
          </w:p>
        </w:tc>
        <w:tc>
          <w:tcPr>
            <w:tcW w:w="5200" w:type="dxa"/>
            <w:tcBorders>
              <w:top w:val="nil"/>
              <w:left w:val="nil"/>
              <w:bottom w:val="single" w:color="auto" w:sz="4" w:space="0"/>
              <w:right w:val="single" w:color="auto" w:sz="4" w:space="0"/>
            </w:tcBorders>
            <w:shd w:val="clear" w:color="auto" w:fill="auto"/>
            <w:vAlign w:val="center"/>
          </w:tcPr>
          <w:p>
            <w:pPr>
              <w:widowControl/>
              <w:rPr>
                <w:rFonts w:ascii="宋体" w:hAnsi="宋体" w:cs="宋体"/>
                <w:kern w:val="0"/>
                <w:sz w:val="20"/>
                <w:szCs w:val="20"/>
              </w:rPr>
            </w:pPr>
            <w:r>
              <w:rPr>
                <w:rFonts w:hint="eastAsia" w:ascii="宋体" w:hAnsi="宋体" w:cs="宋体"/>
                <w:kern w:val="0"/>
                <w:sz w:val="20"/>
                <w:szCs w:val="20"/>
              </w:rPr>
              <w:t>固定GE口5个、1个CONSOLE口，</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w:t>
            </w:r>
          </w:p>
        </w:tc>
      </w:tr>
      <w:tr>
        <w:tblPrEx>
          <w:tblLayout w:type="fixed"/>
          <w:tblCellMar>
            <w:top w:w="0" w:type="dxa"/>
            <w:left w:w="108" w:type="dxa"/>
            <w:bottom w:w="0" w:type="dxa"/>
            <w:right w:w="108" w:type="dxa"/>
          </w:tblCellMar>
        </w:tblPrEx>
        <w:trPr>
          <w:trHeight w:val="600"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162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接入层</w:t>
            </w:r>
          </w:p>
        </w:tc>
        <w:tc>
          <w:tcPr>
            <w:tcW w:w="5200" w:type="dxa"/>
            <w:tcBorders>
              <w:top w:val="nil"/>
              <w:left w:val="nil"/>
              <w:bottom w:val="single" w:color="auto" w:sz="4" w:space="0"/>
              <w:right w:val="single" w:color="auto" w:sz="4" w:space="0"/>
            </w:tcBorders>
            <w:shd w:val="clear" w:color="auto" w:fill="auto"/>
            <w:vAlign w:val="center"/>
          </w:tcPr>
          <w:p>
            <w:pPr>
              <w:widowControl/>
              <w:rPr>
                <w:rFonts w:ascii="宋体" w:hAnsi="宋体" w:cs="宋体"/>
                <w:kern w:val="0"/>
                <w:sz w:val="20"/>
                <w:szCs w:val="20"/>
              </w:rPr>
            </w:pPr>
            <w:r>
              <w:rPr>
                <w:rFonts w:hint="eastAsia" w:ascii="宋体" w:hAnsi="宋体" w:cs="宋体"/>
                <w:kern w:val="0"/>
                <w:sz w:val="20"/>
                <w:szCs w:val="20"/>
              </w:rPr>
              <w:t>52端口含2个千兆单模光模块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690"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c>
          <w:tcPr>
            <w:tcW w:w="162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防火墙</w:t>
            </w:r>
          </w:p>
        </w:tc>
        <w:tc>
          <w:tcPr>
            <w:tcW w:w="5200" w:type="dxa"/>
            <w:tcBorders>
              <w:top w:val="nil"/>
              <w:left w:val="nil"/>
              <w:bottom w:val="single" w:color="auto" w:sz="4" w:space="0"/>
              <w:right w:val="single" w:color="auto" w:sz="4" w:space="0"/>
            </w:tcBorders>
            <w:shd w:val="clear" w:color="auto" w:fill="auto"/>
            <w:vAlign w:val="center"/>
          </w:tcPr>
          <w:p>
            <w:pPr>
              <w:widowControl/>
              <w:rPr>
                <w:rFonts w:hint="eastAsia" w:ascii="宋体" w:hAnsi="宋体" w:cs="宋体"/>
                <w:kern w:val="0"/>
                <w:sz w:val="20"/>
                <w:szCs w:val="20"/>
              </w:rPr>
            </w:pPr>
            <w:r>
              <w:rPr>
                <w:rFonts w:hint="eastAsia" w:ascii="宋体" w:hAnsi="宋体" w:cs="宋体"/>
                <w:kern w:val="0"/>
                <w:sz w:val="20"/>
                <w:szCs w:val="20"/>
              </w:rPr>
              <w:t>*1U4个10/100/1000BASE-T接口；</w:t>
            </w:r>
          </w:p>
          <w:p>
            <w:pPr>
              <w:widowControl/>
              <w:rPr>
                <w:rFonts w:hint="eastAsia" w:ascii="宋体" w:hAnsi="宋体" w:cs="宋体"/>
                <w:kern w:val="0"/>
                <w:sz w:val="20"/>
                <w:szCs w:val="20"/>
              </w:rPr>
            </w:pPr>
            <w:r>
              <w:rPr>
                <w:rFonts w:hint="eastAsia" w:ascii="宋体" w:hAnsi="宋体" w:cs="宋体"/>
                <w:kern w:val="0"/>
                <w:sz w:val="20"/>
                <w:szCs w:val="20"/>
              </w:rPr>
              <w:t>*整机吞吐率≥1Gbps；</w:t>
            </w:r>
          </w:p>
          <w:p>
            <w:pPr>
              <w:widowControl/>
              <w:rPr>
                <w:rFonts w:ascii="宋体" w:hAnsi="宋体" w:cs="宋体"/>
                <w:kern w:val="0"/>
                <w:sz w:val="20"/>
                <w:szCs w:val="20"/>
              </w:rPr>
            </w:pPr>
            <w:r>
              <w:rPr>
                <w:rFonts w:hint="eastAsia" w:ascii="宋体" w:hAnsi="宋体" w:cs="宋体"/>
                <w:kern w:val="0"/>
                <w:sz w:val="20"/>
                <w:szCs w:val="20"/>
              </w:rPr>
              <w:t>最大并发连接数≥100万，IPSECVPN功能 IDP入侵防御功能</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559"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c>
          <w:tcPr>
            <w:tcW w:w="16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网络机柜</w:t>
            </w:r>
          </w:p>
        </w:tc>
        <w:tc>
          <w:tcPr>
            <w:tcW w:w="5200" w:type="dxa"/>
            <w:tcBorders>
              <w:top w:val="nil"/>
              <w:left w:val="nil"/>
              <w:bottom w:val="single" w:color="auto" w:sz="4" w:space="0"/>
              <w:right w:val="single" w:color="auto" w:sz="4" w:space="0"/>
            </w:tcBorders>
            <w:shd w:val="clear" w:color="auto" w:fill="auto"/>
            <w:vAlign w:val="center"/>
          </w:tcPr>
          <w:p>
            <w:pPr>
              <w:widowControl/>
              <w:rPr>
                <w:rFonts w:ascii="宋体" w:hAnsi="宋体" w:cs="宋体"/>
                <w:kern w:val="0"/>
                <w:sz w:val="20"/>
                <w:szCs w:val="20"/>
              </w:rPr>
            </w:pPr>
            <w:r>
              <w:rPr>
                <w:rFonts w:hint="eastAsia" w:ascii="宋体" w:hAnsi="宋体" w:cs="宋体"/>
                <w:kern w:val="0"/>
                <w:sz w:val="20"/>
                <w:szCs w:val="20"/>
              </w:rPr>
              <w:t>42U(含3个8口PDU)</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含弱电间</w:t>
            </w:r>
          </w:p>
        </w:tc>
      </w:tr>
      <w:tr>
        <w:tblPrEx>
          <w:tblLayout w:type="fixed"/>
          <w:tblCellMar>
            <w:top w:w="0" w:type="dxa"/>
            <w:left w:w="108" w:type="dxa"/>
            <w:bottom w:w="0" w:type="dxa"/>
            <w:right w:w="108" w:type="dxa"/>
          </w:tblCellMar>
        </w:tblPrEx>
        <w:trPr>
          <w:trHeight w:val="600" w:hRule="atLeast"/>
          <w:jc w:val="center"/>
        </w:trPr>
        <w:tc>
          <w:tcPr>
            <w:tcW w:w="9980" w:type="dxa"/>
            <w:gridSpan w:val="6"/>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b/>
                <w:bCs/>
                <w:kern w:val="0"/>
                <w:sz w:val="20"/>
                <w:szCs w:val="20"/>
              </w:rPr>
            </w:pPr>
            <w:r>
              <w:rPr>
                <w:rFonts w:hint="eastAsia" w:ascii="宋体" w:hAnsi="宋体" w:cs="宋体"/>
                <w:b/>
                <w:bCs/>
                <w:kern w:val="0"/>
                <w:sz w:val="20"/>
                <w:szCs w:val="20"/>
              </w:rPr>
              <w:t>三、国检机房部分</w:t>
            </w:r>
          </w:p>
        </w:tc>
      </w:tr>
      <w:tr>
        <w:tblPrEx>
          <w:tblLayout w:type="fixed"/>
          <w:tblCellMar>
            <w:top w:w="0" w:type="dxa"/>
            <w:left w:w="108" w:type="dxa"/>
            <w:bottom w:w="0" w:type="dxa"/>
            <w:right w:w="108" w:type="dxa"/>
          </w:tblCellMar>
        </w:tblPrEx>
        <w:trPr>
          <w:trHeight w:val="600"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7</w:t>
            </w:r>
          </w:p>
        </w:tc>
        <w:tc>
          <w:tcPr>
            <w:tcW w:w="162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核心路由器</w:t>
            </w:r>
          </w:p>
        </w:tc>
        <w:tc>
          <w:tcPr>
            <w:tcW w:w="5200" w:type="dxa"/>
            <w:tcBorders>
              <w:top w:val="nil"/>
              <w:left w:val="nil"/>
              <w:bottom w:val="single" w:color="auto" w:sz="4" w:space="0"/>
              <w:right w:val="single" w:color="auto" w:sz="4" w:space="0"/>
            </w:tcBorders>
            <w:shd w:val="clear" w:color="auto" w:fill="auto"/>
            <w:vAlign w:val="center"/>
          </w:tcPr>
          <w:p>
            <w:pPr>
              <w:widowControl/>
              <w:rPr>
                <w:rFonts w:ascii="宋体" w:hAnsi="宋体" w:cs="宋体"/>
                <w:kern w:val="0"/>
                <w:sz w:val="20"/>
                <w:szCs w:val="20"/>
              </w:rPr>
            </w:pPr>
            <w:r>
              <w:rPr>
                <w:rFonts w:hint="eastAsia" w:ascii="宋体" w:hAnsi="宋体" w:cs="宋体"/>
                <w:kern w:val="0"/>
                <w:sz w:val="20"/>
                <w:szCs w:val="20"/>
              </w:rPr>
              <w:t>固定GE口5个、1个CONSOLE口，</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795"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8</w:t>
            </w:r>
          </w:p>
        </w:tc>
        <w:tc>
          <w:tcPr>
            <w:tcW w:w="162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核心交换机</w:t>
            </w:r>
          </w:p>
        </w:tc>
        <w:tc>
          <w:tcPr>
            <w:tcW w:w="5200" w:type="dxa"/>
            <w:tcBorders>
              <w:top w:val="nil"/>
              <w:left w:val="nil"/>
              <w:bottom w:val="single" w:color="auto" w:sz="4" w:space="0"/>
              <w:right w:val="single" w:color="auto" w:sz="4" w:space="0"/>
            </w:tcBorders>
            <w:shd w:val="clear" w:color="auto" w:fill="auto"/>
            <w:vAlign w:val="center"/>
          </w:tcPr>
          <w:p>
            <w:pPr>
              <w:widowControl/>
              <w:rPr>
                <w:rFonts w:ascii="宋体" w:hAnsi="宋体" w:cs="宋体"/>
                <w:kern w:val="0"/>
                <w:sz w:val="20"/>
                <w:szCs w:val="20"/>
              </w:rPr>
            </w:pPr>
            <w:r>
              <w:rPr>
                <w:rFonts w:hint="eastAsia" w:ascii="宋体" w:hAnsi="宋体" w:cs="宋体"/>
                <w:kern w:val="0"/>
                <w:sz w:val="20"/>
                <w:szCs w:val="20"/>
              </w:rPr>
              <w:t>置冗余交流电源，千兆以太网电接口24个，万兆以太网光接口4个，配置原厂商光模块：2个千兆单模光模块。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600"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9</w:t>
            </w:r>
          </w:p>
        </w:tc>
        <w:tc>
          <w:tcPr>
            <w:tcW w:w="162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接入层交换机</w:t>
            </w:r>
          </w:p>
        </w:tc>
        <w:tc>
          <w:tcPr>
            <w:tcW w:w="5200" w:type="dxa"/>
            <w:tcBorders>
              <w:top w:val="nil"/>
              <w:left w:val="nil"/>
              <w:bottom w:val="single" w:color="auto" w:sz="4" w:space="0"/>
              <w:right w:val="single" w:color="auto" w:sz="4" w:space="0"/>
            </w:tcBorders>
            <w:shd w:val="clear" w:color="auto" w:fill="auto"/>
            <w:vAlign w:val="center"/>
          </w:tcPr>
          <w:p>
            <w:pPr>
              <w:widowControl/>
              <w:rPr>
                <w:rFonts w:ascii="宋体" w:hAnsi="宋体" w:cs="宋体"/>
                <w:kern w:val="0"/>
                <w:sz w:val="20"/>
                <w:szCs w:val="20"/>
              </w:rPr>
            </w:pPr>
            <w:r>
              <w:rPr>
                <w:rFonts w:hint="eastAsia" w:ascii="宋体" w:hAnsi="宋体" w:cs="宋体"/>
                <w:kern w:val="0"/>
                <w:sz w:val="20"/>
                <w:szCs w:val="20"/>
              </w:rPr>
              <w:t>52端口含2个千兆单模光模块</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750"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10</w:t>
            </w:r>
          </w:p>
        </w:tc>
        <w:tc>
          <w:tcPr>
            <w:tcW w:w="162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防火墙</w:t>
            </w:r>
          </w:p>
        </w:tc>
        <w:tc>
          <w:tcPr>
            <w:tcW w:w="5200" w:type="dxa"/>
            <w:tcBorders>
              <w:top w:val="nil"/>
              <w:left w:val="nil"/>
              <w:bottom w:val="single" w:color="auto" w:sz="4" w:space="0"/>
              <w:right w:val="single" w:color="auto" w:sz="4" w:space="0"/>
            </w:tcBorders>
            <w:shd w:val="clear" w:color="auto" w:fill="auto"/>
            <w:vAlign w:val="center"/>
          </w:tcPr>
          <w:p>
            <w:pPr>
              <w:widowControl/>
              <w:rPr>
                <w:rFonts w:hint="eastAsia" w:ascii="宋体" w:hAnsi="宋体" w:cs="宋体"/>
                <w:kern w:val="0"/>
                <w:sz w:val="20"/>
                <w:szCs w:val="20"/>
              </w:rPr>
            </w:pPr>
            <w:r>
              <w:rPr>
                <w:rFonts w:hint="eastAsia" w:ascii="宋体" w:hAnsi="宋体" w:cs="宋体"/>
                <w:kern w:val="0"/>
                <w:sz w:val="20"/>
                <w:szCs w:val="20"/>
              </w:rPr>
              <w:t>*1U4个10/100/1000BASE-T接口；</w:t>
            </w:r>
          </w:p>
          <w:p>
            <w:pPr>
              <w:widowControl/>
              <w:rPr>
                <w:rFonts w:hint="eastAsia" w:ascii="宋体" w:hAnsi="宋体" w:cs="宋体"/>
                <w:kern w:val="0"/>
                <w:sz w:val="20"/>
                <w:szCs w:val="20"/>
              </w:rPr>
            </w:pPr>
            <w:r>
              <w:rPr>
                <w:rFonts w:hint="eastAsia" w:ascii="宋体" w:hAnsi="宋体" w:cs="宋体"/>
                <w:kern w:val="0"/>
                <w:sz w:val="20"/>
                <w:szCs w:val="20"/>
              </w:rPr>
              <w:t>*整机吞吐率≥1Gbps；</w:t>
            </w:r>
          </w:p>
          <w:p>
            <w:pPr>
              <w:widowControl/>
              <w:rPr>
                <w:rFonts w:ascii="宋体" w:hAnsi="宋体" w:cs="宋体"/>
                <w:kern w:val="0"/>
                <w:sz w:val="20"/>
                <w:szCs w:val="20"/>
              </w:rPr>
            </w:pPr>
            <w:r>
              <w:rPr>
                <w:rFonts w:hint="eastAsia" w:ascii="宋体" w:hAnsi="宋体" w:cs="宋体"/>
                <w:kern w:val="0"/>
                <w:sz w:val="20"/>
                <w:szCs w:val="20"/>
              </w:rPr>
              <w:t>最大并发连接数≥100万，IPSECVPN功能 IDP入侵防御功能</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600" w:hRule="atLeast"/>
          <w:jc w:val="center"/>
        </w:trPr>
        <w:tc>
          <w:tcPr>
            <w:tcW w:w="520" w:type="dxa"/>
            <w:tcBorders>
              <w:top w:val="nil"/>
              <w:left w:val="single" w:color="auto" w:sz="4" w:space="0"/>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13</w:t>
            </w:r>
          </w:p>
        </w:tc>
        <w:tc>
          <w:tcPr>
            <w:tcW w:w="162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网络机柜</w:t>
            </w:r>
          </w:p>
        </w:tc>
        <w:tc>
          <w:tcPr>
            <w:tcW w:w="5200" w:type="dxa"/>
            <w:tcBorders>
              <w:top w:val="nil"/>
              <w:left w:val="nil"/>
              <w:bottom w:val="single" w:color="auto" w:sz="4" w:space="0"/>
              <w:right w:val="single" w:color="auto" w:sz="4" w:space="0"/>
            </w:tcBorders>
            <w:shd w:val="clear" w:color="auto" w:fill="auto"/>
            <w:vAlign w:val="center"/>
          </w:tcPr>
          <w:p>
            <w:pPr>
              <w:widowControl/>
              <w:rPr>
                <w:rFonts w:ascii="宋体" w:hAnsi="宋体" w:cs="宋体"/>
                <w:kern w:val="0"/>
                <w:sz w:val="20"/>
                <w:szCs w:val="20"/>
              </w:rPr>
            </w:pPr>
            <w:r>
              <w:rPr>
                <w:rFonts w:hint="eastAsia" w:ascii="宋体" w:hAnsi="宋体" w:cs="宋体"/>
                <w:kern w:val="0"/>
                <w:sz w:val="20"/>
                <w:szCs w:val="20"/>
              </w:rPr>
              <w:t>42U(含3个8口PDU)</w:t>
            </w:r>
          </w:p>
        </w:tc>
        <w:tc>
          <w:tcPr>
            <w:tcW w:w="6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800" w:type="dxa"/>
            <w:tcBorders>
              <w:top w:val="nil"/>
              <w:left w:val="nil"/>
              <w:bottom w:val="single" w:color="auto" w:sz="4" w:space="0"/>
              <w:right w:val="single" w:color="auto" w:sz="4"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240" w:type="dxa"/>
            <w:tcBorders>
              <w:top w:val="nil"/>
              <w:left w:val="nil"/>
              <w:bottom w:val="single" w:color="auto" w:sz="4" w:space="0"/>
              <w:right w:val="single" w:color="auto" w:sz="4" w:space="0"/>
            </w:tcBorders>
            <w:shd w:val="clear" w:color="000000" w:fill="DAEEF3"/>
            <w:vAlign w:val="center"/>
          </w:tcPr>
          <w:p>
            <w:pPr>
              <w:widowControl/>
              <w:jc w:val="center"/>
              <w:rPr>
                <w:rFonts w:ascii="宋体" w:hAnsi="宋体" w:cs="宋体"/>
                <w:kern w:val="0"/>
                <w:sz w:val="20"/>
                <w:szCs w:val="20"/>
              </w:rPr>
            </w:pPr>
          </w:p>
        </w:tc>
      </w:tr>
    </w:tbl>
    <w:p>
      <w:pPr>
        <w:spacing w:line="360" w:lineRule="auto"/>
        <w:rPr>
          <w:rFonts w:hint="eastAsia" w:ascii="宋体" w:hAnsi="宋体" w:cs="宋体"/>
          <w:b/>
          <w:sz w:val="24"/>
        </w:rPr>
      </w:pPr>
    </w:p>
    <w:p>
      <w:pPr>
        <w:spacing w:line="360" w:lineRule="auto"/>
        <w:rPr>
          <w:rFonts w:hint="eastAsia" w:ascii="宋体" w:hAnsi="宋体" w:cs="宋体"/>
          <w:b/>
          <w:sz w:val="24"/>
        </w:rPr>
      </w:pPr>
    </w:p>
    <w:p>
      <w:pPr>
        <w:spacing w:line="360" w:lineRule="auto"/>
        <w:rPr>
          <w:rFonts w:hint="eastAsia" w:ascii="宋体" w:hAnsi="宋体" w:cs="宋体"/>
          <w:b/>
          <w:sz w:val="24"/>
        </w:rPr>
      </w:pPr>
    </w:p>
    <w:tbl>
      <w:tblPr>
        <w:tblStyle w:val="12"/>
        <w:tblW w:w="8880" w:type="dxa"/>
        <w:tblInd w:w="103" w:type="dxa"/>
        <w:tblLayout w:type="fixed"/>
        <w:tblCellMar>
          <w:top w:w="0" w:type="dxa"/>
          <w:left w:w="108" w:type="dxa"/>
          <w:bottom w:w="0" w:type="dxa"/>
          <w:right w:w="108" w:type="dxa"/>
        </w:tblCellMar>
      </w:tblPr>
      <w:tblGrid>
        <w:gridCol w:w="524"/>
        <w:gridCol w:w="1282"/>
        <w:gridCol w:w="6551"/>
        <w:gridCol w:w="523"/>
      </w:tblGrid>
      <w:tr>
        <w:tblPrEx>
          <w:tblLayout w:type="fixed"/>
          <w:tblCellMar>
            <w:top w:w="0" w:type="dxa"/>
            <w:left w:w="108" w:type="dxa"/>
            <w:bottom w:w="0" w:type="dxa"/>
            <w:right w:w="108" w:type="dxa"/>
          </w:tblCellMar>
        </w:tblPrEx>
        <w:trPr>
          <w:trHeight w:val="240" w:hRule="atLeast"/>
        </w:trPr>
        <w:tc>
          <w:tcPr>
            <w:tcW w:w="8880" w:type="dxa"/>
            <w:gridSpan w:val="4"/>
            <w:tcBorders>
              <w:top w:val="single" w:color="auto" w:sz="4" w:space="0"/>
              <w:left w:val="single" w:color="auto" w:sz="4" w:space="0"/>
              <w:bottom w:val="single" w:color="auto" w:sz="4" w:space="0"/>
              <w:right w:val="single" w:color="auto" w:sz="4" w:space="0"/>
            </w:tcBorders>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环境软件</w:t>
            </w:r>
          </w:p>
        </w:tc>
      </w:tr>
      <w:tr>
        <w:tblPrEx>
          <w:tblLayout w:type="fixed"/>
          <w:tblCellMar>
            <w:top w:w="0" w:type="dxa"/>
            <w:left w:w="108" w:type="dxa"/>
            <w:bottom w:w="0" w:type="dxa"/>
            <w:right w:w="108" w:type="dxa"/>
          </w:tblCellMar>
        </w:tblPrEx>
        <w:trPr>
          <w:trHeight w:val="240" w:hRule="atLeast"/>
        </w:trPr>
        <w:tc>
          <w:tcPr>
            <w:tcW w:w="524" w:type="dxa"/>
            <w:tcBorders>
              <w:top w:val="nil"/>
              <w:left w:val="single" w:color="auto" w:sz="4" w:space="0"/>
              <w:bottom w:val="single" w:color="auto" w:sz="4" w:space="0"/>
              <w:right w:val="single" w:color="auto" w:sz="4" w:space="0"/>
            </w:tcBorders>
            <w:shd w:val="clear" w:color="000000" w:fill="FABF8F"/>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序号</w:t>
            </w:r>
          </w:p>
        </w:tc>
        <w:tc>
          <w:tcPr>
            <w:tcW w:w="1282" w:type="dxa"/>
            <w:tcBorders>
              <w:top w:val="nil"/>
              <w:left w:val="nil"/>
              <w:bottom w:val="single" w:color="auto" w:sz="4" w:space="0"/>
              <w:right w:val="single" w:color="auto" w:sz="4" w:space="0"/>
            </w:tcBorders>
            <w:shd w:val="clear" w:color="000000" w:fill="FABF8F"/>
            <w:vAlign w:val="center"/>
          </w:tcPr>
          <w:p>
            <w:pPr>
              <w:widowControl/>
              <w:jc w:val="left"/>
              <w:rPr>
                <w:rFonts w:ascii="宋体" w:hAnsi="宋体" w:cs="宋体"/>
                <w:b/>
                <w:bCs/>
                <w:kern w:val="0"/>
                <w:sz w:val="20"/>
                <w:szCs w:val="20"/>
              </w:rPr>
            </w:pPr>
            <w:r>
              <w:rPr>
                <w:rFonts w:hint="eastAsia" w:ascii="宋体" w:hAnsi="宋体" w:cs="宋体"/>
                <w:b/>
                <w:bCs/>
                <w:kern w:val="0"/>
                <w:sz w:val="20"/>
                <w:szCs w:val="20"/>
              </w:rPr>
              <w:t xml:space="preserve">产品型号  </w:t>
            </w:r>
          </w:p>
        </w:tc>
        <w:tc>
          <w:tcPr>
            <w:tcW w:w="6551" w:type="dxa"/>
            <w:tcBorders>
              <w:top w:val="nil"/>
              <w:left w:val="nil"/>
              <w:bottom w:val="single" w:color="auto" w:sz="4" w:space="0"/>
              <w:right w:val="single" w:color="auto" w:sz="4" w:space="0"/>
            </w:tcBorders>
            <w:shd w:val="clear" w:color="000000" w:fill="FABF8F"/>
            <w:vAlign w:val="center"/>
          </w:tcPr>
          <w:p>
            <w:pPr>
              <w:widowControl/>
              <w:jc w:val="left"/>
              <w:rPr>
                <w:rFonts w:ascii="宋体" w:hAnsi="宋体" w:cs="宋体"/>
                <w:b/>
                <w:bCs/>
                <w:kern w:val="0"/>
                <w:sz w:val="20"/>
                <w:szCs w:val="20"/>
              </w:rPr>
            </w:pPr>
            <w:r>
              <w:rPr>
                <w:rFonts w:hint="eastAsia" w:ascii="宋体" w:hAnsi="宋体" w:cs="宋体"/>
                <w:b/>
                <w:bCs/>
                <w:kern w:val="0"/>
                <w:sz w:val="20"/>
                <w:szCs w:val="20"/>
              </w:rPr>
              <w:t xml:space="preserve">产品描述 </w:t>
            </w:r>
          </w:p>
        </w:tc>
        <w:tc>
          <w:tcPr>
            <w:tcW w:w="523" w:type="dxa"/>
            <w:tcBorders>
              <w:top w:val="nil"/>
              <w:left w:val="nil"/>
              <w:bottom w:val="single" w:color="auto" w:sz="4" w:space="0"/>
              <w:right w:val="single" w:color="auto" w:sz="4" w:space="0"/>
            </w:tcBorders>
            <w:shd w:val="clear" w:color="000000" w:fill="FABF8F"/>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数量</w:t>
            </w:r>
          </w:p>
        </w:tc>
      </w:tr>
      <w:tr>
        <w:tblPrEx>
          <w:tblLayout w:type="fixed"/>
          <w:tblCellMar>
            <w:top w:w="0" w:type="dxa"/>
            <w:left w:w="108" w:type="dxa"/>
            <w:bottom w:w="0" w:type="dxa"/>
            <w:right w:w="108" w:type="dxa"/>
          </w:tblCellMar>
        </w:tblPrEx>
        <w:trPr>
          <w:trHeight w:val="240" w:hRule="atLeast"/>
        </w:trPr>
        <w:tc>
          <w:tcPr>
            <w:tcW w:w="8880" w:type="dxa"/>
            <w:gridSpan w:val="4"/>
            <w:tcBorders>
              <w:top w:val="single" w:color="auto" w:sz="4" w:space="0"/>
              <w:left w:val="single" w:color="auto" w:sz="4" w:space="0"/>
              <w:bottom w:val="single" w:color="auto" w:sz="4" w:space="0"/>
              <w:right w:val="single" w:color="auto" w:sz="4" w:space="0"/>
            </w:tcBorders>
            <w:vAlign w:val="center"/>
          </w:tcPr>
          <w:p>
            <w:pPr>
              <w:widowControl/>
              <w:jc w:val="left"/>
              <w:rPr>
                <w:rFonts w:ascii="宋体" w:hAnsi="宋体" w:cs="宋体"/>
                <w:b/>
                <w:bCs/>
                <w:kern w:val="0"/>
                <w:sz w:val="20"/>
                <w:szCs w:val="20"/>
              </w:rPr>
            </w:pPr>
            <w:r>
              <w:rPr>
                <w:rFonts w:hint="eastAsia" w:ascii="宋体" w:hAnsi="宋体" w:cs="宋体"/>
                <w:b/>
                <w:bCs/>
                <w:kern w:val="0"/>
                <w:sz w:val="20"/>
                <w:szCs w:val="20"/>
              </w:rPr>
              <w:t>一、管委会机房</w:t>
            </w:r>
          </w:p>
        </w:tc>
      </w:tr>
      <w:tr>
        <w:tblPrEx>
          <w:tblLayout w:type="fixed"/>
          <w:tblCellMar>
            <w:top w:w="0" w:type="dxa"/>
            <w:left w:w="108" w:type="dxa"/>
            <w:bottom w:w="0" w:type="dxa"/>
            <w:right w:w="108" w:type="dxa"/>
          </w:tblCellMar>
        </w:tblPrEx>
        <w:trPr>
          <w:trHeight w:val="240" w:hRule="atLeast"/>
        </w:trPr>
        <w:tc>
          <w:tcPr>
            <w:tcW w:w="524" w:type="dxa"/>
            <w:tcBorders>
              <w:top w:val="nil"/>
              <w:left w:val="single" w:color="auto" w:sz="4" w:space="0"/>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1282" w:type="dxa"/>
            <w:tcBorders>
              <w:top w:val="nil"/>
              <w:left w:val="nil"/>
              <w:bottom w:val="single" w:color="auto" w:sz="4" w:space="0"/>
              <w:right w:val="single" w:color="auto"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操作系统</w:t>
            </w:r>
          </w:p>
        </w:tc>
        <w:tc>
          <w:tcPr>
            <w:tcW w:w="6551" w:type="dxa"/>
            <w:tcBorders>
              <w:top w:val="nil"/>
              <w:left w:val="nil"/>
              <w:bottom w:val="single" w:color="auto" w:sz="4" w:space="0"/>
              <w:right w:val="single" w:color="auto" w:sz="4" w:space="0"/>
            </w:tcBorders>
            <w:vAlign w:val="center"/>
          </w:tcPr>
          <w:p>
            <w:pPr>
              <w:widowControl/>
              <w:rPr>
                <w:rFonts w:ascii="宋体" w:hAnsi="宋体" w:cs="宋体"/>
                <w:kern w:val="0"/>
                <w:sz w:val="20"/>
                <w:szCs w:val="20"/>
              </w:rPr>
            </w:pPr>
            <w:r>
              <w:rPr>
                <w:rFonts w:hint="eastAsia" w:ascii="宋体" w:hAnsi="宋体" w:cs="宋体"/>
                <w:kern w:val="0"/>
                <w:sz w:val="20"/>
                <w:szCs w:val="20"/>
              </w:rPr>
              <w:t>Microsoft Windows Server 2012(x64)</w:t>
            </w:r>
            <w:r>
              <w:rPr>
                <w:rFonts w:hint="eastAsia"/>
              </w:rPr>
              <w:t xml:space="preserve"> </w:t>
            </w:r>
            <w:r>
              <w:rPr>
                <w:rFonts w:ascii="宋体" w:hAnsi="宋体" w:cs="宋体"/>
                <w:kern w:val="0"/>
                <w:sz w:val="20"/>
                <w:szCs w:val="20"/>
              </w:rPr>
              <w:t>standard</w:t>
            </w:r>
            <w:r>
              <w:rPr>
                <w:rFonts w:hint="eastAsia" w:ascii="宋体" w:hAnsi="宋体" w:cs="宋体"/>
                <w:kern w:val="0"/>
                <w:sz w:val="20"/>
                <w:szCs w:val="20"/>
              </w:rPr>
              <w:t xml:space="preserve"> </w:t>
            </w:r>
          </w:p>
        </w:tc>
        <w:tc>
          <w:tcPr>
            <w:tcW w:w="523"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r>
      <w:tr>
        <w:tblPrEx>
          <w:tblLayout w:type="fixed"/>
          <w:tblCellMar>
            <w:top w:w="0" w:type="dxa"/>
            <w:left w:w="108" w:type="dxa"/>
            <w:bottom w:w="0" w:type="dxa"/>
            <w:right w:w="108" w:type="dxa"/>
          </w:tblCellMar>
        </w:tblPrEx>
        <w:trPr>
          <w:trHeight w:val="240" w:hRule="atLeast"/>
        </w:trPr>
        <w:tc>
          <w:tcPr>
            <w:tcW w:w="524" w:type="dxa"/>
            <w:tcBorders>
              <w:top w:val="nil"/>
              <w:left w:val="single" w:color="auto" w:sz="4" w:space="0"/>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1282" w:type="dxa"/>
            <w:tcBorders>
              <w:top w:val="nil"/>
              <w:left w:val="nil"/>
              <w:bottom w:val="single" w:color="auto" w:sz="4" w:space="0"/>
              <w:right w:val="single" w:color="auto"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数据库软件</w:t>
            </w:r>
          </w:p>
        </w:tc>
        <w:tc>
          <w:tcPr>
            <w:tcW w:w="6551" w:type="dxa"/>
            <w:tcBorders>
              <w:top w:val="nil"/>
              <w:left w:val="nil"/>
              <w:bottom w:val="single" w:color="auto" w:sz="4" w:space="0"/>
              <w:right w:val="single" w:color="auto"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 xml:space="preserve">ORACLE 11G  1CPU </w:t>
            </w:r>
            <w:r>
              <w:rPr>
                <w:rFonts w:ascii="宋体" w:hAnsi="宋体" w:cs="宋体"/>
                <w:kern w:val="0"/>
                <w:sz w:val="20"/>
                <w:szCs w:val="20"/>
              </w:rPr>
              <w:t>standard</w:t>
            </w:r>
            <w:r>
              <w:rPr>
                <w:rFonts w:hint="eastAsia" w:ascii="宋体" w:hAnsi="宋体" w:cs="宋体"/>
                <w:kern w:val="0"/>
                <w:sz w:val="20"/>
                <w:szCs w:val="20"/>
              </w:rPr>
              <w:t xml:space="preserve">  FOR Windows</w:t>
            </w:r>
          </w:p>
        </w:tc>
        <w:tc>
          <w:tcPr>
            <w:tcW w:w="523"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bl>
    <w:p>
      <w:pPr>
        <w:spacing w:line="360" w:lineRule="auto"/>
        <w:rPr>
          <w:rFonts w:hint="eastAsia" w:ascii="宋体" w:hAnsi="宋体" w:cs="宋体"/>
          <w:b/>
          <w:sz w:val="24"/>
        </w:rPr>
      </w:pPr>
    </w:p>
    <w:tbl>
      <w:tblPr>
        <w:tblStyle w:val="12"/>
        <w:tblW w:w="9630" w:type="dxa"/>
        <w:tblInd w:w="93" w:type="dxa"/>
        <w:tblLayout w:type="fixed"/>
        <w:tblCellMar>
          <w:top w:w="15" w:type="dxa"/>
          <w:left w:w="108" w:type="dxa"/>
          <w:bottom w:w="15" w:type="dxa"/>
          <w:right w:w="108" w:type="dxa"/>
        </w:tblCellMar>
      </w:tblPr>
      <w:tblGrid>
        <w:gridCol w:w="15"/>
        <w:gridCol w:w="600"/>
        <w:gridCol w:w="585"/>
        <w:gridCol w:w="1316"/>
        <w:gridCol w:w="479"/>
        <w:gridCol w:w="3760"/>
        <w:gridCol w:w="477"/>
        <w:gridCol w:w="423"/>
        <w:gridCol w:w="776"/>
        <w:gridCol w:w="404"/>
        <w:gridCol w:w="795"/>
      </w:tblGrid>
      <w:tr>
        <w:tblPrEx>
          <w:tblLayout w:type="fixed"/>
          <w:tblCellMar>
            <w:top w:w="15" w:type="dxa"/>
            <w:left w:w="108" w:type="dxa"/>
            <w:bottom w:w="15" w:type="dxa"/>
            <w:right w:w="108" w:type="dxa"/>
          </w:tblCellMar>
        </w:tblPrEx>
        <w:trPr>
          <w:trHeight w:val="480" w:hRule="atLeast"/>
        </w:trPr>
        <w:tc>
          <w:tcPr>
            <w:tcW w:w="9630" w:type="dxa"/>
            <w:gridSpan w:val="11"/>
            <w:tcBorders>
              <w:bottom w:val="single" w:color="000000" w:sz="12" w:space="0"/>
            </w:tcBorders>
            <w:vAlign w:val="center"/>
          </w:tcPr>
          <w:p>
            <w:pPr>
              <w:widowControl/>
              <w:jc w:val="center"/>
              <w:rPr>
                <w:rFonts w:ascii="宋体" w:hAnsi="宋体" w:cs="宋体"/>
                <w:b/>
                <w:bCs/>
                <w:kern w:val="0"/>
                <w:sz w:val="36"/>
                <w:szCs w:val="36"/>
              </w:rPr>
            </w:pPr>
            <w:r>
              <w:rPr>
                <w:rFonts w:hint="eastAsia" w:ascii="宋体" w:hAnsi="宋体" w:cs="宋体"/>
                <w:b/>
                <w:bCs/>
                <w:kern w:val="0"/>
                <w:sz w:val="36"/>
                <w:szCs w:val="36"/>
              </w:rPr>
              <w:t>智能卡口系统设备清单</w:t>
            </w:r>
          </w:p>
        </w:tc>
      </w:tr>
      <w:tr>
        <w:tblPrEx>
          <w:tblLayout w:type="fixed"/>
          <w:tblCellMar>
            <w:top w:w="15" w:type="dxa"/>
            <w:left w:w="108" w:type="dxa"/>
            <w:bottom w:w="15" w:type="dxa"/>
            <w:right w:w="108" w:type="dxa"/>
          </w:tblCellMar>
        </w:tblPrEx>
        <w:trPr>
          <w:trHeight w:val="315" w:hRule="atLeast"/>
        </w:trPr>
        <w:tc>
          <w:tcPr>
            <w:tcW w:w="9630" w:type="dxa"/>
            <w:gridSpan w:val="11"/>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通道类型：</w:t>
            </w:r>
            <w:r>
              <w:rPr>
                <w:rFonts w:ascii="宋体" w:hAnsi="宋体" w:cs="宋体"/>
                <w:kern w:val="0"/>
                <w:sz w:val="20"/>
                <w:szCs w:val="20"/>
              </w:rPr>
              <w:t>2进2出B类货运通道和1条共进共出C类行政通道：</w:t>
            </w:r>
          </w:p>
        </w:tc>
      </w:tr>
      <w:tr>
        <w:tblPrEx>
          <w:tblLayout w:type="fixed"/>
          <w:tblCellMar>
            <w:top w:w="15" w:type="dxa"/>
            <w:left w:w="108" w:type="dxa"/>
            <w:bottom w:w="15" w:type="dxa"/>
            <w:right w:w="108" w:type="dxa"/>
          </w:tblCellMar>
        </w:tblPrEx>
        <w:trPr>
          <w:trHeight w:val="495" w:hRule="atLeast"/>
        </w:trPr>
        <w:tc>
          <w:tcPr>
            <w:tcW w:w="1200" w:type="dxa"/>
            <w:gridSpan w:val="3"/>
            <w:tcBorders>
              <w:left w:val="single" w:color="000000" w:sz="12" w:space="0"/>
              <w:right w:val="single" w:color="000000" w:sz="12" w:space="0"/>
            </w:tcBorders>
            <w:shd w:val="clear" w:color="auto" w:fill="BFBFBF"/>
            <w:vAlign w:val="center"/>
          </w:tcPr>
          <w:p>
            <w:pPr>
              <w:widowControl/>
              <w:jc w:val="center"/>
              <w:rPr>
                <w:rFonts w:ascii="宋体" w:hAnsi="宋体" w:cs="宋体"/>
                <w:kern w:val="0"/>
                <w:sz w:val="20"/>
                <w:szCs w:val="20"/>
              </w:rPr>
            </w:pPr>
            <w:r>
              <w:rPr>
                <w:rFonts w:hint="eastAsia" w:ascii="宋体" w:hAnsi="宋体" w:cs="宋体"/>
                <w:kern w:val="0"/>
                <w:sz w:val="20"/>
                <w:szCs w:val="20"/>
              </w:rPr>
              <w:t>序号</w:t>
            </w:r>
          </w:p>
        </w:tc>
        <w:tc>
          <w:tcPr>
            <w:tcW w:w="1316" w:type="dxa"/>
            <w:tcBorders>
              <w:right w:val="single" w:color="000000" w:sz="12" w:space="0"/>
            </w:tcBorders>
            <w:shd w:val="clear" w:color="auto" w:fill="BFBFBF"/>
            <w:vAlign w:val="center"/>
          </w:tcPr>
          <w:p>
            <w:pPr>
              <w:widowControl/>
              <w:jc w:val="center"/>
              <w:rPr>
                <w:rFonts w:ascii="宋体" w:hAnsi="宋体" w:cs="宋体"/>
                <w:kern w:val="0"/>
                <w:sz w:val="20"/>
                <w:szCs w:val="20"/>
              </w:rPr>
            </w:pPr>
            <w:r>
              <w:rPr>
                <w:rFonts w:hint="eastAsia" w:ascii="宋体" w:hAnsi="宋体" w:cs="宋体"/>
                <w:kern w:val="0"/>
                <w:sz w:val="20"/>
                <w:szCs w:val="20"/>
              </w:rPr>
              <w:t>设备名称</w:t>
            </w:r>
          </w:p>
        </w:tc>
        <w:tc>
          <w:tcPr>
            <w:tcW w:w="4716" w:type="dxa"/>
            <w:gridSpan w:val="3"/>
            <w:tcBorders>
              <w:right w:val="single" w:color="000000" w:sz="12" w:space="0"/>
            </w:tcBorders>
            <w:shd w:val="clear" w:color="auto" w:fill="BFBFBF"/>
            <w:vAlign w:val="center"/>
          </w:tcPr>
          <w:p>
            <w:pPr>
              <w:widowControl/>
              <w:jc w:val="center"/>
              <w:rPr>
                <w:rFonts w:ascii="宋体" w:hAnsi="宋体" w:cs="宋体"/>
                <w:kern w:val="0"/>
                <w:sz w:val="20"/>
                <w:szCs w:val="20"/>
              </w:rPr>
            </w:pPr>
            <w:r>
              <w:rPr>
                <w:rFonts w:hint="eastAsia" w:ascii="宋体" w:hAnsi="宋体" w:cs="宋体"/>
                <w:kern w:val="0"/>
                <w:sz w:val="20"/>
                <w:szCs w:val="20"/>
              </w:rPr>
              <w:t>技术参数</w:t>
            </w:r>
          </w:p>
        </w:tc>
        <w:tc>
          <w:tcPr>
            <w:tcW w:w="1199" w:type="dxa"/>
            <w:gridSpan w:val="2"/>
            <w:tcBorders>
              <w:right w:val="single" w:color="000000" w:sz="12" w:space="0"/>
            </w:tcBorders>
            <w:shd w:val="clear" w:color="auto" w:fill="BFBFBF"/>
            <w:vAlign w:val="center"/>
          </w:tcPr>
          <w:p>
            <w:pPr>
              <w:widowControl/>
              <w:jc w:val="center"/>
              <w:rPr>
                <w:rFonts w:ascii="宋体" w:hAnsi="宋体" w:cs="宋体"/>
                <w:kern w:val="0"/>
                <w:sz w:val="20"/>
                <w:szCs w:val="20"/>
              </w:rPr>
            </w:pPr>
            <w:r>
              <w:rPr>
                <w:rFonts w:hint="eastAsia" w:ascii="宋体" w:hAnsi="宋体" w:cs="宋体"/>
                <w:kern w:val="0"/>
                <w:sz w:val="20"/>
                <w:szCs w:val="20"/>
              </w:rPr>
              <w:t>单位</w:t>
            </w:r>
          </w:p>
        </w:tc>
        <w:tc>
          <w:tcPr>
            <w:tcW w:w="1199" w:type="dxa"/>
            <w:gridSpan w:val="2"/>
            <w:tcBorders>
              <w:right w:val="single" w:color="000000" w:sz="12" w:space="0"/>
            </w:tcBorders>
            <w:shd w:val="clear" w:color="auto" w:fill="BFBFBF"/>
            <w:vAlign w:val="center"/>
          </w:tcPr>
          <w:p>
            <w:pPr>
              <w:widowControl/>
              <w:jc w:val="center"/>
              <w:rPr>
                <w:rFonts w:ascii="宋体" w:hAnsi="宋体" w:cs="宋体"/>
                <w:kern w:val="0"/>
                <w:sz w:val="20"/>
                <w:szCs w:val="20"/>
              </w:rPr>
            </w:pPr>
            <w:r>
              <w:rPr>
                <w:rFonts w:hint="eastAsia" w:ascii="宋体" w:hAnsi="宋体" w:cs="宋体"/>
                <w:kern w:val="0"/>
                <w:sz w:val="20"/>
                <w:szCs w:val="20"/>
              </w:rPr>
              <w:t>数量</w:t>
            </w:r>
          </w:p>
        </w:tc>
      </w:tr>
      <w:tr>
        <w:tblPrEx>
          <w:tblLayout w:type="fixed"/>
          <w:tblCellMar>
            <w:top w:w="15" w:type="dxa"/>
            <w:left w:w="108" w:type="dxa"/>
            <w:bottom w:w="15" w:type="dxa"/>
            <w:right w:w="108" w:type="dxa"/>
          </w:tblCellMar>
        </w:tblPrEx>
        <w:trPr>
          <w:trHeight w:val="300" w:hRule="atLeast"/>
        </w:trPr>
        <w:tc>
          <w:tcPr>
            <w:tcW w:w="9630" w:type="dxa"/>
            <w:gridSpan w:val="11"/>
            <w:tcBorders>
              <w:top w:val="single" w:color="000000" w:sz="12" w:space="0"/>
              <w:left w:val="single" w:color="000000" w:sz="12" w:space="0"/>
              <w:bottom w:val="single" w:color="000000" w:sz="12" w:space="0"/>
            </w:tcBorders>
            <w:shd w:val="clear" w:color="auto" w:fill="FCD5B4"/>
            <w:vAlign w:val="center"/>
          </w:tcPr>
          <w:p>
            <w:pPr>
              <w:widowControl/>
              <w:jc w:val="left"/>
              <w:rPr>
                <w:rFonts w:ascii="宋体" w:hAnsi="宋体" w:cs="宋体"/>
                <w:kern w:val="0"/>
                <w:sz w:val="20"/>
                <w:szCs w:val="20"/>
              </w:rPr>
            </w:pPr>
            <w:r>
              <w:rPr>
                <w:rFonts w:hint="eastAsia" w:ascii="宋体" w:hAnsi="宋体" w:cs="宋体"/>
                <w:kern w:val="0"/>
                <w:sz w:val="20"/>
                <w:szCs w:val="20"/>
              </w:rPr>
              <w:t>1</w:t>
            </w:r>
            <w:r>
              <w:rPr>
                <w:rFonts w:ascii="宋体" w:hAnsi="宋体" w:cs="宋体"/>
                <w:kern w:val="0"/>
                <w:sz w:val="20"/>
                <w:szCs w:val="20"/>
              </w:rPr>
              <w:t>、电子车牌自动识别系统</w:t>
            </w: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电子车牌识别器</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工作频率：</w:t>
            </w:r>
            <w:r>
              <w:rPr>
                <w:rFonts w:ascii="宋体" w:hAnsi="宋体" w:cs="宋体"/>
                <w:kern w:val="0"/>
                <w:sz w:val="20"/>
                <w:szCs w:val="20"/>
              </w:rPr>
              <w:t>ISM 900～930MHz（中国）；</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识别距离：</w:t>
            </w:r>
            <w:r>
              <w:rPr>
                <w:rFonts w:ascii="宋体" w:hAnsi="宋体" w:cs="宋体"/>
                <w:kern w:val="0"/>
                <w:sz w:val="20"/>
                <w:szCs w:val="20"/>
              </w:rPr>
              <w:t>5～30米；</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通信接口：支持</w:t>
            </w:r>
            <w:r>
              <w:rPr>
                <w:rFonts w:ascii="宋体" w:hAnsi="宋体" w:cs="宋体"/>
                <w:kern w:val="0"/>
                <w:sz w:val="20"/>
                <w:szCs w:val="20"/>
              </w:rPr>
              <w:t>TCP/IP、RS232、RS485、Wiegand26/34接口；</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支持标签协议：</w:t>
            </w:r>
            <w:r>
              <w:rPr>
                <w:rFonts w:ascii="宋体" w:hAnsi="宋体" w:cs="宋体"/>
                <w:kern w:val="0"/>
                <w:sz w:val="20"/>
                <w:szCs w:val="20"/>
              </w:rPr>
              <w:t>EPC C1 Gen（ISO 18000-6C），ISO 18000-6B；</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识别率：≥</w:t>
            </w:r>
            <w:r>
              <w:rPr>
                <w:rFonts w:ascii="宋体" w:hAnsi="宋体" w:cs="宋体"/>
                <w:kern w:val="0"/>
                <w:sz w:val="20"/>
                <w:szCs w:val="20"/>
              </w:rPr>
              <w:t>99.9%；</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防护等级：</w:t>
            </w:r>
            <w:r>
              <w:rPr>
                <w:rFonts w:ascii="宋体" w:hAnsi="宋体" w:cs="宋体"/>
                <w:kern w:val="0"/>
                <w:sz w:val="20"/>
                <w:szCs w:val="20"/>
              </w:rPr>
              <w:t>IP65；</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工作温度：</w:t>
            </w:r>
            <w:r>
              <w:rPr>
                <w:rFonts w:ascii="宋体" w:hAnsi="宋体" w:cs="宋体"/>
                <w:kern w:val="0"/>
                <w:sz w:val="20"/>
                <w:szCs w:val="20"/>
              </w:rPr>
              <w:t>-20～70℃；</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免费提供提供</w:t>
            </w:r>
            <w:r>
              <w:rPr>
                <w:rFonts w:ascii="宋体" w:hAnsi="宋体" w:cs="宋体"/>
                <w:kern w:val="0"/>
                <w:sz w:val="20"/>
                <w:szCs w:val="20"/>
              </w:rPr>
              <w:t>API开发包。</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电子车牌设备安装支架及杆件</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镀锌管质；</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管壁：≥</w:t>
            </w:r>
            <w:r>
              <w:rPr>
                <w:rFonts w:ascii="宋体" w:hAnsi="宋体" w:cs="宋体"/>
                <w:kern w:val="0"/>
                <w:sz w:val="20"/>
                <w:szCs w:val="20"/>
              </w:rPr>
              <w:t>3mm；</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电子车牌识别标签</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符合海关总署标准</w:t>
            </w:r>
            <w:r>
              <w:rPr>
                <w:rFonts w:ascii="宋体" w:hAnsi="宋体" w:cs="宋体"/>
                <w:kern w:val="0"/>
                <w:sz w:val="20"/>
                <w:szCs w:val="20"/>
              </w:rPr>
              <w:t>(陶瓷型)</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张</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工作温度：</w:t>
            </w:r>
            <w:r>
              <w:rPr>
                <w:rFonts w:ascii="宋体" w:hAnsi="宋体" w:cs="宋体"/>
                <w:kern w:val="0"/>
                <w:sz w:val="20"/>
                <w:szCs w:val="20"/>
              </w:rPr>
              <w:t>-10℃～60℃；</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存储温度：</w:t>
            </w:r>
            <w:r>
              <w:rPr>
                <w:rFonts w:ascii="宋体" w:hAnsi="宋体" w:cs="宋体"/>
                <w:kern w:val="0"/>
                <w:sz w:val="20"/>
                <w:szCs w:val="20"/>
              </w:rPr>
              <w:t>-10℃～60℃；</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防护等级：</w:t>
            </w:r>
            <w:r>
              <w:rPr>
                <w:rFonts w:ascii="宋体" w:hAnsi="宋体" w:cs="宋体"/>
                <w:kern w:val="0"/>
                <w:sz w:val="20"/>
                <w:szCs w:val="20"/>
              </w:rPr>
              <w:t>IP67；</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协议：</w:t>
            </w:r>
            <w:r>
              <w:rPr>
                <w:rFonts w:ascii="宋体" w:hAnsi="宋体" w:cs="宋体"/>
                <w:kern w:val="0"/>
                <w:sz w:val="20"/>
                <w:szCs w:val="20"/>
              </w:rPr>
              <w:t>ISO-18000-6B/6C；</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容量：</w:t>
            </w:r>
            <w:r>
              <w:rPr>
                <w:rFonts w:ascii="宋体" w:hAnsi="宋体" w:cs="宋体"/>
                <w:kern w:val="0"/>
                <w:sz w:val="20"/>
                <w:szCs w:val="20"/>
              </w:rPr>
              <w:t>64-512bits；</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频段：</w:t>
            </w:r>
            <w:r>
              <w:rPr>
                <w:rFonts w:ascii="宋体" w:hAnsi="宋体" w:cs="宋体"/>
                <w:kern w:val="0"/>
                <w:sz w:val="20"/>
                <w:szCs w:val="20"/>
              </w:rPr>
              <w:t>UHF；</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电子车牌识别系统软件</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电子车牌信息采集；</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能够通过电子车牌阅读器，通过无线的方式获得电子标签物理序列号及存储的车牌信息；</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9630" w:type="dxa"/>
            <w:gridSpan w:val="11"/>
            <w:tcBorders>
              <w:left w:val="single" w:color="000000" w:sz="12" w:space="0"/>
              <w:bottom w:val="single" w:color="000000" w:sz="12" w:space="0"/>
            </w:tcBorders>
            <w:shd w:val="clear" w:color="auto" w:fill="FCD5B4"/>
            <w:vAlign w:val="center"/>
          </w:tcPr>
          <w:p>
            <w:pPr>
              <w:widowControl/>
              <w:jc w:val="left"/>
              <w:rPr>
                <w:rFonts w:ascii="宋体" w:hAnsi="宋体" w:cs="宋体"/>
                <w:kern w:val="0"/>
                <w:sz w:val="20"/>
                <w:szCs w:val="20"/>
              </w:rPr>
            </w:pPr>
            <w:r>
              <w:rPr>
                <w:rFonts w:hint="eastAsia" w:ascii="宋体" w:hAnsi="宋体" w:cs="宋体"/>
                <w:kern w:val="0"/>
                <w:sz w:val="20"/>
                <w:szCs w:val="20"/>
              </w:rPr>
              <w:t>2</w:t>
            </w:r>
            <w:r>
              <w:rPr>
                <w:rFonts w:ascii="宋体" w:hAnsi="宋体" w:cs="宋体"/>
                <w:kern w:val="0"/>
                <w:sz w:val="20"/>
                <w:szCs w:val="20"/>
              </w:rPr>
              <w:t>、电子地磅系统</w:t>
            </w: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电子地磅及配件</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数字式额定称量：≥</w:t>
            </w:r>
            <w:r>
              <w:rPr>
                <w:rFonts w:ascii="宋体" w:hAnsi="宋体" w:cs="宋体"/>
                <w:kern w:val="0"/>
                <w:sz w:val="20"/>
                <w:szCs w:val="20"/>
              </w:rPr>
              <w:t>80吨；</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最大安全过载：</w:t>
            </w:r>
            <w:r>
              <w:rPr>
                <w:rFonts w:ascii="宋体" w:hAnsi="宋体" w:cs="宋体"/>
                <w:kern w:val="0"/>
                <w:sz w:val="20"/>
                <w:szCs w:val="20"/>
              </w:rPr>
              <w:t>125%FS；</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允许通过的汽车轴载：≥</w:t>
            </w:r>
            <w:r>
              <w:rPr>
                <w:rFonts w:ascii="宋体" w:hAnsi="宋体" w:cs="宋体"/>
                <w:kern w:val="0"/>
                <w:sz w:val="20"/>
                <w:szCs w:val="20"/>
              </w:rPr>
              <w:t>40吨；</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分度值：≤</w:t>
            </w:r>
            <w:r>
              <w:rPr>
                <w:rFonts w:ascii="宋体" w:hAnsi="宋体" w:cs="宋体"/>
                <w:kern w:val="0"/>
                <w:sz w:val="20"/>
                <w:szCs w:val="20"/>
              </w:rPr>
              <w:t>20千克；</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台面尺寸：</w:t>
            </w:r>
            <w:r>
              <w:rPr>
                <w:rFonts w:ascii="宋体" w:hAnsi="宋体" w:cs="宋体"/>
                <w:kern w:val="0"/>
                <w:sz w:val="20"/>
                <w:szCs w:val="20"/>
              </w:rPr>
              <w:t>18m(L)×3.4m(W)；</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结构：</w:t>
            </w:r>
            <w:r>
              <w:rPr>
                <w:rFonts w:ascii="宋体" w:hAnsi="宋体" w:cs="宋体"/>
                <w:kern w:val="0"/>
                <w:sz w:val="20"/>
                <w:szCs w:val="20"/>
              </w:rPr>
              <w:t>3节秤台,全钢结构,秤台刚性：1/1000；安全系数≥2.5；</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基础形式：无基坑、浅基坑；</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精度：</w:t>
            </w:r>
            <w:r>
              <w:rPr>
                <w:rFonts w:ascii="宋体" w:hAnsi="宋体" w:cs="宋体"/>
                <w:kern w:val="0"/>
                <w:sz w:val="20"/>
                <w:szCs w:val="20"/>
              </w:rPr>
              <w:t>OIML III级；</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秤台防护等级：室外工作，防护等级</w:t>
            </w:r>
            <w:r>
              <w:rPr>
                <w:rFonts w:ascii="宋体" w:hAnsi="宋体" w:cs="宋体"/>
                <w:kern w:val="0"/>
                <w:sz w:val="20"/>
                <w:szCs w:val="20"/>
              </w:rPr>
              <w:t>IP68；</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秤台结构设计增强：秤体连接处加强设计，满足高频次，耐磨损的恶劣使用要求；</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秤台采用整体面板无悍接</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1316" w:type="dxa"/>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电子地磅预埋件焊接</w:t>
            </w: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规格参照电子地磅土建基础；</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RS232</w:t>
            </w:r>
            <w:r>
              <w:rPr>
                <w:rFonts w:ascii="宋体" w:hAnsi="宋体" w:cs="宋体"/>
                <w:kern w:val="0"/>
                <w:sz w:val="20"/>
                <w:szCs w:val="20"/>
              </w:rPr>
              <w:t>转485转换器（含电源）</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波特率：</w:t>
            </w:r>
            <w:r>
              <w:rPr>
                <w:rFonts w:ascii="宋体" w:hAnsi="宋体" w:cs="宋体"/>
                <w:kern w:val="0"/>
                <w:sz w:val="20"/>
                <w:szCs w:val="20"/>
              </w:rPr>
              <w:t>50bps～912.6Kbps；</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串口保护：</w:t>
            </w:r>
            <w:r>
              <w:rPr>
                <w:rFonts w:ascii="宋体" w:hAnsi="宋体" w:cs="宋体"/>
                <w:kern w:val="0"/>
                <w:sz w:val="20"/>
                <w:szCs w:val="20"/>
              </w:rPr>
              <w:t>15KV ESD（所有信号）；</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光电隔离：</w:t>
            </w:r>
            <w:r>
              <w:rPr>
                <w:rFonts w:ascii="宋体" w:hAnsi="宋体" w:cs="宋体"/>
                <w:kern w:val="0"/>
                <w:sz w:val="20"/>
                <w:szCs w:val="20"/>
              </w:rPr>
              <w:t>2KV；</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反接保护：提供</w:t>
            </w:r>
            <w:r>
              <w:rPr>
                <w:rFonts w:ascii="宋体" w:hAnsi="宋体" w:cs="宋体"/>
                <w:kern w:val="0"/>
                <w:sz w:val="20"/>
                <w:szCs w:val="20"/>
              </w:rPr>
              <w:t>V+和V-反接电源保护；</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过流保护：信号短接保护；</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输入电压：</w:t>
            </w:r>
            <w:r>
              <w:rPr>
                <w:rFonts w:ascii="宋体" w:hAnsi="宋体" w:cs="宋体"/>
                <w:kern w:val="0"/>
                <w:sz w:val="20"/>
                <w:szCs w:val="20"/>
              </w:rPr>
              <w:t>12～48VDC；</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电源功耗：</w:t>
            </w:r>
            <w:r>
              <w:rPr>
                <w:rFonts w:ascii="宋体" w:hAnsi="宋体" w:cs="宋体"/>
                <w:kern w:val="0"/>
                <w:sz w:val="20"/>
                <w:szCs w:val="20"/>
              </w:rPr>
              <w:t>4.68W；</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工作温度：</w:t>
            </w:r>
            <w:r>
              <w:rPr>
                <w:rFonts w:ascii="宋体" w:hAnsi="宋体" w:cs="宋体"/>
                <w:kern w:val="0"/>
                <w:sz w:val="20"/>
                <w:szCs w:val="20"/>
              </w:rPr>
              <w:t>-20～60℃；</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工作湿度：</w:t>
            </w:r>
            <w:r>
              <w:rPr>
                <w:rFonts w:ascii="宋体" w:hAnsi="宋体" w:cs="宋体"/>
                <w:kern w:val="0"/>
                <w:sz w:val="20"/>
                <w:szCs w:val="20"/>
              </w:rPr>
              <w:t>5～90% RH；</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电子地磅系统采集软件</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自动获取电子地磅采集重量数据；</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9630" w:type="dxa"/>
            <w:gridSpan w:val="11"/>
            <w:tcBorders>
              <w:left w:val="single" w:color="000000" w:sz="12" w:space="0"/>
              <w:bottom w:val="single" w:color="000000" w:sz="12" w:space="0"/>
            </w:tcBorders>
            <w:shd w:val="clear" w:color="auto" w:fill="FCD5B4"/>
            <w:vAlign w:val="center"/>
          </w:tcPr>
          <w:p>
            <w:pPr>
              <w:widowControl/>
              <w:jc w:val="left"/>
              <w:rPr>
                <w:rFonts w:ascii="宋体" w:hAnsi="宋体" w:cs="宋体"/>
                <w:kern w:val="0"/>
                <w:sz w:val="20"/>
                <w:szCs w:val="20"/>
              </w:rPr>
            </w:pPr>
            <w:r>
              <w:rPr>
                <w:rFonts w:hint="eastAsia" w:ascii="宋体" w:hAnsi="宋体" w:cs="宋体"/>
                <w:kern w:val="0"/>
                <w:sz w:val="20"/>
                <w:szCs w:val="20"/>
              </w:rPr>
              <w:t>3</w:t>
            </w:r>
            <w:r>
              <w:rPr>
                <w:rFonts w:ascii="宋体" w:hAnsi="宋体" w:cs="宋体"/>
                <w:kern w:val="0"/>
                <w:sz w:val="20"/>
                <w:szCs w:val="20"/>
              </w:rPr>
              <w:t>、车牌抓拍识别系统</w:t>
            </w: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防护罩一体化卡口抓拍单元（含电源）</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像素：≥</w:t>
            </w:r>
            <w:r>
              <w:rPr>
                <w:rFonts w:ascii="宋体" w:hAnsi="宋体" w:cs="宋体"/>
                <w:kern w:val="0"/>
                <w:sz w:val="20"/>
                <w:szCs w:val="20"/>
              </w:rPr>
              <w:t>200万；</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最小照度：彩色</w:t>
            </w:r>
            <w:r>
              <w:rPr>
                <w:rFonts w:ascii="宋体" w:hAnsi="宋体" w:cs="宋体"/>
                <w:kern w:val="0"/>
                <w:sz w:val="20"/>
                <w:szCs w:val="20"/>
              </w:rPr>
              <w:t>0.0021Lux@(F1.2,AGC ON)，黑白0.00021Lux @(F1.2,AGC ON)；</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快门：</w:t>
            </w:r>
            <w:r>
              <w:rPr>
                <w:rFonts w:ascii="宋体" w:hAnsi="宋体" w:cs="宋体"/>
                <w:kern w:val="0"/>
                <w:sz w:val="20"/>
                <w:szCs w:val="20"/>
              </w:rPr>
              <w:t>1秒至1/100,000秒；</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镜头：</w:t>
            </w:r>
            <w:r>
              <w:rPr>
                <w:rFonts w:ascii="宋体" w:hAnsi="宋体" w:cs="宋体"/>
                <w:kern w:val="0"/>
                <w:sz w:val="20"/>
                <w:szCs w:val="20"/>
              </w:rPr>
              <w:t>3.8～13mm镜头；</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最大图像尺寸：</w:t>
            </w:r>
            <w:r>
              <w:rPr>
                <w:rFonts w:ascii="宋体" w:hAnsi="宋体" w:cs="宋体"/>
                <w:kern w:val="0"/>
                <w:sz w:val="20"/>
                <w:szCs w:val="20"/>
              </w:rPr>
              <w:t>1920×1080；</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支持协议：</w:t>
            </w:r>
            <w:r>
              <w:rPr>
                <w:rFonts w:ascii="宋体" w:hAnsi="宋体" w:cs="宋体"/>
                <w:kern w:val="0"/>
                <w:sz w:val="20"/>
                <w:szCs w:val="20"/>
              </w:rPr>
              <w:t>TCP/IP，HTTP，DHCP，DNS，RTP，RTSP，NTP，支持FTP上传图片；</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智能识别：车牌识别、车型识别、车辆检测；</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通讯接口：</w:t>
            </w:r>
            <w:r>
              <w:rPr>
                <w:rFonts w:ascii="宋体" w:hAnsi="宋体" w:cs="宋体"/>
                <w:kern w:val="0"/>
                <w:sz w:val="20"/>
                <w:szCs w:val="20"/>
              </w:rPr>
              <w:t>1个RJ4510M/100M/1000M自适应以太网口，5个RS-485 接口，1个RS-232接口；</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补光灯：外置</w:t>
            </w:r>
            <w:r>
              <w:rPr>
                <w:rFonts w:ascii="宋体" w:hAnsi="宋体" w:cs="宋体"/>
                <w:kern w:val="0"/>
                <w:sz w:val="20"/>
                <w:szCs w:val="20"/>
              </w:rPr>
              <w:t>3颗LED补光灯；</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工作温度：</w:t>
            </w:r>
            <w:r>
              <w:rPr>
                <w:rFonts w:ascii="宋体" w:hAnsi="宋体" w:cs="宋体"/>
                <w:kern w:val="0"/>
                <w:sz w:val="20"/>
                <w:szCs w:val="20"/>
              </w:rPr>
              <w:t>-30℃～70℃；</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湿度：＜</w:t>
            </w:r>
            <w:r>
              <w:rPr>
                <w:rFonts w:ascii="宋体" w:hAnsi="宋体" w:cs="宋体"/>
                <w:kern w:val="0"/>
                <w:sz w:val="20"/>
                <w:szCs w:val="20"/>
              </w:rPr>
              <w:t>90%(无凝结)；</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1316" w:type="dxa"/>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安装支架及立柱</w:t>
            </w: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采用镀锌钢材质制作；</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r>
      <w:tr>
        <w:tblPrEx>
          <w:tblLayout w:type="fixed"/>
          <w:tblCellMar>
            <w:top w:w="15" w:type="dxa"/>
            <w:left w:w="108" w:type="dxa"/>
            <w:bottom w:w="15" w:type="dxa"/>
            <w:right w:w="108" w:type="dxa"/>
          </w:tblCellMar>
        </w:tblPrEx>
        <w:trPr>
          <w:trHeight w:val="495" w:hRule="atLeast"/>
        </w:trPr>
        <w:tc>
          <w:tcPr>
            <w:tcW w:w="1200" w:type="dxa"/>
            <w:gridSpan w:val="3"/>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1316" w:type="dxa"/>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车牌抓拍识别软件</w:t>
            </w: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含抓拍、识别、控制模块、车牌图像数据采集及传输等；</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r>
      <w:tr>
        <w:tblPrEx>
          <w:tblLayout w:type="fixed"/>
          <w:tblCellMar>
            <w:top w:w="15" w:type="dxa"/>
            <w:left w:w="108" w:type="dxa"/>
            <w:bottom w:w="15" w:type="dxa"/>
            <w:right w:w="108" w:type="dxa"/>
          </w:tblCellMar>
        </w:tblPrEx>
        <w:trPr>
          <w:trHeight w:val="300" w:hRule="atLeast"/>
        </w:trPr>
        <w:tc>
          <w:tcPr>
            <w:tcW w:w="9630" w:type="dxa"/>
            <w:gridSpan w:val="11"/>
            <w:tcBorders>
              <w:left w:val="single" w:color="000000" w:sz="12" w:space="0"/>
              <w:bottom w:val="single" w:color="000000" w:sz="12" w:space="0"/>
            </w:tcBorders>
            <w:shd w:val="clear" w:color="auto" w:fill="FCD5B4"/>
            <w:vAlign w:val="center"/>
          </w:tcPr>
          <w:p>
            <w:pPr>
              <w:widowControl/>
              <w:jc w:val="left"/>
              <w:rPr>
                <w:rFonts w:ascii="宋体" w:hAnsi="宋体" w:cs="宋体"/>
                <w:kern w:val="0"/>
                <w:sz w:val="20"/>
                <w:szCs w:val="20"/>
              </w:rPr>
            </w:pPr>
            <w:r>
              <w:rPr>
                <w:rFonts w:hint="eastAsia" w:ascii="宋体" w:hAnsi="宋体" w:cs="宋体"/>
                <w:kern w:val="0"/>
                <w:sz w:val="20"/>
                <w:szCs w:val="20"/>
              </w:rPr>
              <w:t>4</w:t>
            </w:r>
            <w:r>
              <w:rPr>
                <w:rFonts w:ascii="宋体" w:hAnsi="宋体" w:cs="宋体"/>
                <w:kern w:val="0"/>
                <w:sz w:val="20"/>
                <w:szCs w:val="20"/>
              </w:rPr>
              <w:t>、IC卡自动识别系统</w:t>
            </w: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双天线</w:t>
            </w:r>
            <w:r>
              <w:rPr>
                <w:rFonts w:ascii="宋体" w:hAnsi="宋体" w:cs="宋体"/>
                <w:kern w:val="0"/>
                <w:sz w:val="20"/>
                <w:szCs w:val="20"/>
              </w:rPr>
              <w:t>IC卡读写器(含电源）</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传输速率：≥</w:t>
            </w:r>
            <w:r>
              <w:rPr>
                <w:rFonts w:ascii="宋体" w:hAnsi="宋体" w:cs="宋体"/>
                <w:kern w:val="0"/>
                <w:sz w:val="20"/>
                <w:szCs w:val="20"/>
              </w:rPr>
              <w:t>9600bps；</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支持的协议：符合</w:t>
            </w:r>
            <w:r>
              <w:rPr>
                <w:rFonts w:ascii="宋体" w:hAnsi="宋体" w:cs="宋体"/>
                <w:kern w:val="0"/>
                <w:sz w:val="20"/>
                <w:szCs w:val="20"/>
              </w:rPr>
              <w:t>ISO14443标准；</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系统接口：</w:t>
            </w:r>
            <w:r>
              <w:rPr>
                <w:rFonts w:ascii="宋体" w:hAnsi="宋体" w:cs="宋体"/>
                <w:kern w:val="0"/>
                <w:sz w:val="20"/>
                <w:szCs w:val="20"/>
              </w:rPr>
              <w:t>RS232/RS485/RJ45接口（三选一）；</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数据格式：</w:t>
            </w:r>
            <w:r>
              <w:rPr>
                <w:rFonts w:ascii="宋体" w:hAnsi="宋体" w:cs="宋体"/>
                <w:kern w:val="0"/>
                <w:sz w:val="20"/>
                <w:szCs w:val="20"/>
              </w:rPr>
              <w:t>1bit起始位，8bits数据位，1bit停止位，无奇偶校验，数据包CRC校验；</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读写距离：</w:t>
            </w:r>
            <w:r>
              <w:rPr>
                <w:rFonts w:ascii="宋体" w:hAnsi="宋体" w:cs="宋体"/>
                <w:kern w:val="0"/>
                <w:sz w:val="20"/>
                <w:szCs w:val="20"/>
              </w:rPr>
              <w:t>0～100mm；</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读写速度：</w:t>
            </w:r>
            <w:r>
              <w:rPr>
                <w:rFonts w:ascii="宋体" w:hAnsi="宋体" w:cs="宋体"/>
                <w:kern w:val="0"/>
                <w:sz w:val="20"/>
                <w:szCs w:val="20"/>
              </w:rPr>
              <w:t>12ms；</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识别率：≥</w:t>
            </w:r>
            <w:r>
              <w:rPr>
                <w:rFonts w:ascii="宋体" w:hAnsi="宋体" w:cs="宋体"/>
                <w:kern w:val="0"/>
                <w:sz w:val="20"/>
                <w:szCs w:val="20"/>
              </w:rPr>
              <w:t>99%；</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自动发卡机（含电源）</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带硬件看门狗；</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发卡速度：最快小于</w:t>
            </w:r>
            <w:r>
              <w:rPr>
                <w:rFonts w:ascii="宋体" w:hAnsi="宋体" w:cs="宋体"/>
                <w:kern w:val="0"/>
                <w:sz w:val="20"/>
                <w:szCs w:val="20"/>
              </w:rPr>
              <w:t>0.5秒；</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73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卡片适应性：纸质卡片或聚脂类卡片；</w:t>
            </w:r>
            <w:r>
              <w:rPr>
                <w:rFonts w:ascii="宋体" w:hAnsi="宋体" w:cs="宋体"/>
                <w:kern w:val="0"/>
                <w:sz w:val="20"/>
                <w:szCs w:val="20"/>
              </w:rPr>
              <w:t>76～86mm(长)，53～56mm(宽)，0.6～2.0mm(厚度)；</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卡箱容量：</w:t>
            </w:r>
            <w:r>
              <w:rPr>
                <w:rFonts w:ascii="宋体" w:hAnsi="宋体" w:cs="宋体"/>
                <w:kern w:val="0"/>
                <w:sz w:val="20"/>
                <w:szCs w:val="20"/>
              </w:rPr>
              <w:t>200 张(卡厚0.76mm),可级联；</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使用寿命：≥</w:t>
            </w:r>
            <w:r>
              <w:rPr>
                <w:rFonts w:ascii="宋体" w:hAnsi="宋体" w:cs="宋体"/>
                <w:kern w:val="0"/>
                <w:sz w:val="20"/>
                <w:szCs w:val="20"/>
              </w:rPr>
              <w:t>500万次；</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通讯接口：</w:t>
            </w:r>
            <w:r>
              <w:rPr>
                <w:rFonts w:ascii="宋体" w:hAnsi="宋体" w:cs="宋体"/>
                <w:kern w:val="0"/>
                <w:sz w:val="20"/>
                <w:szCs w:val="20"/>
              </w:rPr>
              <w:t>RS485、RS232、I/O电平；</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抗震性符合</w:t>
            </w:r>
            <w:r>
              <w:rPr>
                <w:rFonts w:ascii="宋体" w:hAnsi="宋体" w:cs="宋体"/>
                <w:kern w:val="0"/>
                <w:sz w:val="20"/>
                <w:szCs w:val="20"/>
              </w:rPr>
              <w:t>GB/T 2423.5-1995 GB/T 2423.5-1995 第二部分相关要求；</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抗电磁干扰、防静电：符合</w:t>
            </w:r>
            <w:r>
              <w:rPr>
                <w:rFonts w:ascii="宋体" w:hAnsi="宋体" w:cs="宋体"/>
                <w:kern w:val="0"/>
                <w:sz w:val="20"/>
                <w:szCs w:val="20"/>
              </w:rPr>
              <w:t>3C 标准；</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w:t>
            </w:r>
            <w:r>
              <w:rPr>
                <w:rFonts w:ascii="宋体" w:hAnsi="宋体" w:cs="宋体"/>
                <w:kern w:val="0"/>
                <w:sz w:val="20"/>
                <w:szCs w:val="20"/>
              </w:rPr>
              <w:t>DC24V±10% 2A；</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功率：小于</w:t>
            </w:r>
            <w:r>
              <w:rPr>
                <w:rFonts w:ascii="宋体" w:hAnsi="宋体" w:cs="宋体"/>
                <w:kern w:val="0"/>
                <w:sz w:val="20"/>
                <w:szCs w:val="20"/>
              </w:rPr>
              <w:t>50W；</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工作温度：</w:t>
            </w:r>
            <w:r>
              <w:rPr>
                <w:rFonts w:ascii="宋体" w:hAnsi="宋体" w:cs="宋体"/>
                <w:kern w:val="0"/>
                <w:sz w:val="20"/>
                <w:szCs w:val="20"/>
              </w:rPr>
              <w:t>-25°C－+70°C；</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湿度：</w:t>
            </w:r>
            <w:r>
              <w:rPr>
                <w:rFonts w:ascii="宋体" w:hAnsi="宋体" w:cs="宋体"/>
                <w:kern w:val="0"/>
                <w:sz w:val="20"/>
                <w:szCs w:val="20"/>
              </w:rPr>
              <w:t>10%－95%（无冷凝）；</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尺寸：</w:t>
            </w:r>
            <w:r>
              <w:rPr>
                <w:rFonts w:ascii="宋体" w:hAnsi="宋体" w:cs="宋体"/>
                <w:kern w:val="0"/>
                <w:sz w:val="20"/>
                <w:szCs w:val="20"/>
              </w:rPr>
              <w:t>256×100×244mm（长×宽×高）；</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自动收卡机（含电源）</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带硬件看门狗；</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发卡速度：最快小于</w:t>
            </w:r>
            <w:r>
              <w:rPr>
                <w:rFonts w:ascii="宋体" w:hAnsi="宋体" w:cs="宋体"/>
                <w:kern w:val="0"/>
                <w:sz w:val="20"/>
                <w:szCs w:val="20"/>
              </w:rPr>
              <w:t>0.5秒；</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73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卡片适应性：纸质卡片或聚脂类卡片；</w:t>
            </w:r>
            <w:r>
              <w:rPr>
                <w:rFonts w:ascii="宋体" w:hAnsi="宋体" w:cs="宋体"/>
                <w:kern w:val="0"/>
                <w:sz w:val="20"/>
                <w:szCs w:val="20"/>
              </w:rPr>
              <w:t>76～86mm(长)，53～56mm(宽)，0.2～2.0mm(厚度)；</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卡箱容量：</w:t>
            </w:r>
            <w:r>
              <w:rPr>
                <w:rFonts w:ascii="宋体" w:hAnsi="宋体" w:cs="宋体"/>
                <w:kern w:val="0"/>
                <w:sz w:val="20"/>
                <w:szCs w:val="20"/>
              </w:rPr>
              <w:t>70 张；卡箱底部可拆卸、扩充容量；</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使用寿命：＞</w:t>
            </w:r>
            <w:r>
              <w:rPr>
                <w:rFonts w:ascii="宋体" w:hAnsi="宋体" w:cs="宋体"/>
                <w:kern w:val="0"/>
                <w:sz w:val="20"/>
                <w:szCs w:val="20"/>
              </w:rPr>
              <w:t>500万次；</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通讯接口：</w:t>
            </w:r>
            <w:r>
              <w:rPr>
                <w:rFonts w:ascii="宋体" w:hAnsi="宋体" w:cs="宋体"/>
                <w:kern w:val="0"/>
                <w:sz w:val="20"/>
                <w:szCs w:val="20"/>
              </w:rPr>
              <w:t>RS485、RS232、I/O电平；</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抗震性符合</w:t>
            </w:r>
            <w:r>
              <w:rPr>
                <w:rFonts w:ascii="宋体" w:hAnsi="宋体" w:cs="宋体"/>
                <w:kern w:val="0"/>
                <w:sz w:val="20"/>
                <w:szCs w:val="20"/>
              </w:rPr>
              <w:t>GB/T 2423.5-1995 GB/T 2423.5-1995 第二部分相关要求；</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抗电磁干扰、防静电：符合</w:t>
            </w:r>
            <w:r>
              <w:rPr>
                <w:rFonts w:ascii="宋体" w:hAnsi="宋体" w:cs="宋体"/>
                <w:kern w:val="0"/>
                <w:sz w:val="20"/>
                <w:szCs w:val="20"/>
              </w:rPr>
              <w:t>3C 标准；</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w:t>
            </w:r>
            <w:r>
              <w:rPr>
                <w:rFonts w:ascii="宋体" w:hAnsi="宋体" w:cs="宋体"/>
                <w:kern w:val="0"/>
                <w:sz w:val="20"/>
                <w:szCs w:val="20"/>
              </w:rPr>
              <w:t>DC24V±10% 2A；</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功率：小于</w:t>
            </w:r>
            <w:r>
              <w:rPr>
                <w:rFonts w:ascii="宋体" w:hAnsi="宋体" w:cs="宋体"/>
                <w:kern w:val="0"/>
                <w:sz w:val="20"/>
                <w:szCs w:val="20"/>
              </w:rPr>
              <w:t>50W；</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工作温度：</w:t>
            </w:r>
            <w:r>
              <w:rPr>
                <w:rFonts w:ascii="宋体" w:hAnsi="宋体" w:cs="宋体"/>
                <w:kern w:val="0"/>
                <w:sz w:val="20"/>
                <w:szCs w:val="20"/>
              </w:rPr>
              <w:t>-25°C－+70°C；</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湿度：</w:t>
            </w:r>
            <w:r>
              <w:rPr>
                <w:rFonts w:ascii="宋体" w:hAnsi="宋体" w:cs="宋体"/>
                <w:kern w:val="0"/>
                <w:sz w:val="20"/>
                <w:szCs w:val="20"/>
              </w:rPr>
              <w:t>10%－95%（无冷凝）；</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尺寸：</w:t>
            </w:r>
            <w:r>
              <w:rPr>
                <w:rFonts w:ascii="宋体" w:hAnsi="宋体" w:cs="宋体"/>
                <w:kern w:val="0"/>
                <w:sz w:val="20"/>
                <w:szCs w:val="20"/>
              </w:rPr>
              <w:t>252×76×98mm（长×宽×高）；</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RS232</w:t>
            </w:r>
            <w:r>
              <w:rPr>
                <w:rFonts w:ascii="宋体" w:hAnsi="宋体" w:cs="宋体"/>
                <w:kern w:val="0"/>
                <w:sz w:val="20"/>
                <w:szCs w:val="20"/>
              </w:rPr>
              <w:t>转485转换器（含电源）</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波特率：</w:t>
            </w:r>
            <w:r>
              <w:rPr>
                <w:rFonts w:ascii="宋体" w:hAnsi="宋体" w:cs="宋体"/>
                <w:kern w:val="0"/>
                <w:sz w:val="20"/>
                <w:szCs w:val="20"/>
              </w:rPr>
              <w:t>50bps～912.6Kbps；</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串口保护：</w:t>
            </w:r>
            <w:r>
              <w:rPr>
                <w:rFonts w:ascii="宋体" w:hAnsi="宋体" w:cs="宋体"/>
                <w:kern w:val="0"/>
                <w:sz w:val="20"/>
                <w:szCs w:val="20"/>
              </w:rPr>
              <w:t>15KV ESD（所有信号）；</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光电隔离：</w:t>
            </w:r>
            <w:r>
              <w:rPr>
                <w:rFonts w:ascii="宋体" w:hAnsi="宋体" w:cs="宋体"/>
                <w:kern w:val="0"/>
                <w:sz w:val="20"/>
                <w:szCs w:val="20"/>
              </w:rPr>
              <w:t>2KV；</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反接保护：提供</w:t>
            </w:r>
            <w:r>
              <w:rPr>
                <w:rFonts w:ascii="宋体" w:hAnsi="宋体" w:cs="宋体"/>
                <w:kern w:val="0"/>
                <w:sz w:val="20"/>
                <w:szCs w:val="20"/>
              </w:rPr>
              <w:t>V+和V-反接电源保护；</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过流保护：信号短接保护；</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输入电压：</w:t>
            </w:r>
            <w:r>
              <w:rPr>
                <w:rFonts w:ascii="宋体" w:hAnsi="宋体" w:cs="宋体"/>
                <w:kern w:val="0"/>
                <w:sz w:val="20"/>
                <w:szCs w:val="20"/>
              </w:rPr>
              <w:t>12～48VDC；</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电源功耗：</w:t>
            </w:r>
            <w:r>
              <w:rPr>
                <w:rFonts w:ascii="宋体" w:hAnsi="宋体" w:cs="宋体"/>
                <w:kern w:val="0"/>
                <w:sz w:val="20"/>
                <w:szCs w:val="20"/>
              </w:rPr>
              <w:t>4.68W；</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工作温度：</w:t>
            </w:r>
            <w:r>
              <w:rPr>
                <w:rFonts w:ascii="宋体" w:hAnsi="宋体" w:cs="宋体"/>
                <w:kern w:val="0"/>
                <w:sz w:val="20"/>
                <w:szCs w:val="20"/>
              </w:rPr>
              <w:t>-20～60℃；</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工作湿度：</w:t>
            </w:r>
            <w:r>
              <w:rPr>
                <w:rFonts w:ascii="宋体" w:hAnsi="宋体" w:cs="宋体"/>
                <w:kern w:val="0"/>
                <w:sz w:val="20"/>
                <w:szCs w:val="20"/>
              </w:rPr>
              <w:t>5～90% RH；</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智能</w:t>
            </w:r>
            <w:r>
              <w:rPr>
                <w:rFonts w:ascii="宋体" w:hAnsi="宋体" w:cs="宋体"/>
                <w:kern w:val="0"/>
                <w:sz w:val="20"/>
                <w:szCs w:val="20"/>
              </w:rPr>
              <w:t>IC卡</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符合海关总署标准；</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张</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符合</w:t>
            </w:r>
            <w:r>
              <w:rPr>
                <w:rFonts w:ascii="宋体" w:hAnsi="宋体" w:cs="宋体"/>
                <w:kern w:val="0"/>
                <w:sz w:val="20"/>
                <w:szCs w:val="20"/>
              </w:rPr>
              <w:t>ISO14443标准；</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支持</w:t>
            </w:r>
            <w:r>
              <w:rPr>
                <w:rFonts w:ascii="宋体" w:hAnsi="宋体" w:cs="宋体"/>
                <w:kern w:val="0"/>
                <w:sz w:val="20"/>
                <w:szCs w:val="20"/>
              </w:rPr>
              <w:t>TypeA和TypeB；</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非接触</w:t>
            </w:r>
            <w:r>
              <w:rPr>
                <w:rFonts w:ascii="宋体" w:hAnsi="宋体" w:cs="宋体"/>
                <w:kern w:val="0"/>
                <w:sz w:val="20"/>
                <w:szCs w:val="20"/>
              </w:rPr>
              <w:t>IC卡符合ISO7816标准；</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IC</w:t>
            </w:r>
            <w:r>
              <w:rPr>
                <w:rFonts w:ascii="宋体" w:hAnsi="宋体" w:cs="宋体"/>
                <w:kern w:val="0"/>
                <w:sz w:val="20"/>
                <w:szCs w:val="20"/>
              </w:rPr>
              <w:t>卡自动识别系统软件</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ascii="宋体" w:hAnsi="宋体" w:cs="宋体"/>
                <w:kern w:val="0"/>
                <w:sz w:val="20"/>
                <w:szCs w:val="20"/>
              </w:rPr>
              <w:t>自动驱动IC读写器设备读取IC卡数据；</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9630" w:type="dxa"/>
            <w:gridSpan w:val="11"/>
            <w:tcBorders>
              <w:left w:val="single" w:color="000000" w:sz="12" w:space="0"/>
              <w:bottom w:val="single" w:color="000000" w:sz="12" w:space="0"/>
            </w:tcBorders>
            <w:shd w:val="clear" w:color="auto" w:fill="FCD5B4"/>
            <w:vAlign w:val="center"/>
          </w:tcPr>
          <w:p>
            <w:pPr>
              <w:widowControl/>
              <w:jc w:val="left"/>
              <w:rPr>
                <w:rFonts w:ascii="宋体" w:hAnsi="宋体" w:cs="宋体"/>
                <w:kern w:val="0"/>
                <w:sz w:val="20"/>
                <w:szCs w:val="20"/>
              </w:rPr>
            </w:pPr>
            <w:r>
              <w:rPr>
                <w:rFonts w:hint="eastAsia" w:ascii="宋体" w:hAnsi="宋体" w:cs="宋体"/>
                <w:kern w:val="0"/>
                <w:sz w:val="20"/>
                <w:szCs w:val="20"/>
              </w:rPr>
              <w:t>5</w:t>
            </w:r>
            <w:r>
              <w:rPr>
                <w:rFonts w:ascii="宋体" w:hAnsi="宋体" w:cs="宋体"/>
                <w:kern w:val="0"/>
                <w:sz w:val="20"/>
                <w:szCs w:val="20"/>
              </w:rPr>
              <w:t>、闸口放行控制系统</w:t>
            </w: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LED</w:t>
            </w:r>
            <w:r>
              <w:rPr>
                <w:rFonts w:ascii="宋体" w:hAnsi="宋体" w:cs="宋体"/>
                <w:kern w:val="0"/>
                <w:sz w:val="20"/>
                <w:szCs w:val="20"/>
              </w:rPr>
              <w:t>屏（含电源）</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户外</w:t>
            </w:r>
            <w:r>
              <w:rPr>
                <w:rFonts w:ascii="宋体" w:hAnsi="宋体" w:cs="宋体"/>
                <w:kern w:val="0"/>
                <w:sz w:val="20"/>
                <w:szCs w:val="20"/>
              </w:rPr>
              <w:t>6字节信息显示；</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单屏显示：</w:t>
            </w:r>
            <w:r>
              <w:rPr>
                <w:rFonts w:ascii="宋体" w:hAnsi="宋体" w:cs="宋体"/>
                <w:kern w:val="0"/>
                <w:sz w:val="20"/>
                <w:szCs w:val="20"/>
              </w:rPr>
              <w:t>1×6字，单红色（波长：635～645nm）；</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亮度：≥</w:t>
            </w:r>
            <w:r>
              <w:rPr>
                <w:rFonts w:ascii="宋体" w:hAnsi="宋体" w:cs="宋体"/>
                <w:kern w:val="0"/>
                <w:sz w:val="20"/>
                <w:szCs w:val="20"/>
              </w:rPr>
              <w:t>1200mcd；</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视角：上</w:t>
            </w:r>
            <w:r>
              <w:rPr>
                <w:rFonts w:ascii="宋体" w:hAnsi="宋体" w:cs="宋体"/>
                <w:kern w:val="0"/>
                <w:sz w:val="20"/>
                <w:szCs w:val="20"/>
              </w:rPr>
              <w:t>/下/左/右120度；</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串口：</w:t>
            </w:r>
            <w:r>
              <w:rPr>
                <w:rFonts w:ascii="宋体" w:hAnsi="宋体" w:cs="宋体"/>
                <w:kern w:val="0"/>
                <w:sz w:val="20"/>
                <w:szCs w:val="20"/>
              </w:rPr>
              <w:t>RS232/RS485/RJ45[三选一];</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速率：≥</w:t>
            </w:r>
            <w:r>
              <w:rPr>
                <w:rFonts w:ascii="宋体" w:hAnsi="宋体" w:cs="宋体"/>
                <w:kern w:val="0"/>
                <w:sz w:val="20"/>
                <w:szCs w:val="20"/>
              </w:rPr>
              <w:t>9600bit/s;</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w:t>
            </w:r>
            <w:r>
              <w:rPr>
                <w:rFonts w:ascii="宋体" w:hAnsi="宋体" w:cs="宋体"/>
                <w:kern w:val="0"/>
                <w:sz w:val="20"/>
                <w:szCs w:val="20"/>
              </w:rPr>
              <w:t>DC 5V/3A；</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工作温度：</w:t>
            </w:r>
            <w:r>
              <w:rPr>
                <w:rFonts w:ascii="宋体" w:hAnsi="宋体" w:cs="宋体"/>
                <w:kern w:val="0"/>
                <w:sz w:val="20"/>
                <w:szCs w:val="20"/>
              </w:rPr>
              <w:t>-30℃～65℃；</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嵌入式控制器</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CPU:</w:t>
            </w:r>
            <w:r>
              <w:rPr>
                <w:rFonts w:ascii="宋体" w:hAnsi="宋体" w:cs="宋体"/>
                <w:kern w:val="0"/>
                <w:sz w:val="20"/>
                <w:szCs w:val="20"/>
              </w:rPr>
              <w:t xml:space="preserve">  Intel® Atom E3845 1.91GHz, 四核四线程处理器，2M Cache，22nm, TDP10W</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内存</w:t>
            </w:r>
            <w:r>
              <w:rPr>
                <w:rFonts w:ascii="宋体" w:hAnsi="宋体" w:cs="宋体"/>
                <w:kern w:val="0"/>
                <w:sz w:val="20"/>
                <w:szCs w:val="20"/>
              </w:rPr>
              <w:t>:  2xDDR3L 1333MHz SODIMM ，最大8GB</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扩展接口</w:t>
            </w:r>
            <w:r>
              <w:rPr>
                <w:rFonts w:ascii="宋体" w:hAnsi="宋体" w:cs="宋体"/>
                <w:kern w:val="0"/>
                <w:sz w:val="20"/>
                <w:szCs w:val="20"/>
              </w:rPr>
              <w:t>: 2x标准32位PCI槽, 或者1xPCI和1PCIe(X16槽，实为X1信号），1xMINI PCIe ,</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显示：</w:t>
            </w:r>
            <w:r>
              <w:rPr>
                <w:rFonts w:ascii="宋体" w:hAnsi="宋体" w:cs="宋体"/>
                <w:kern w:val="0"/>
                <w:sz w:val="20"/>
                <w:szCs w:val="20"/>
              </w:rPr>
              <w:t>1xVGA</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网络：</w:t>
            </w:r>
            <w:r>
              <w:rPr>
                <w:rFonts w:ascii="宋体" w:hAnsi="宋体" w:cs="宋体"/>
                <w:kern w:val="0"/>
                <w:sz w:val="20"/>
                <w:szCs w:val="20"/>
              </w:rPr>
              <w:t>2xLAN，双Intel WGI210-AT千兆网络芯片，</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73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存储：</w:t>
            </w:r>
            <w:r>
              <w:rPr>
                <w:rFonts w:ascii="宋体" w:hAnsi="宋体" w:cs="宋体"/>
                <w:kern w:val="0"/>
                <w:sz w:val="20"/>
                <w:szCs w:val="20"/>
              </w:rPr>
              <w:t>2x2.5" SATA2硬盘驱动架和1xmSATA(Mini PCIe跳线转换），可上8G到256G不等容量mSATA盘</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USB</w:t>
            </w:r>
            <w:r>
              <w:rPr>
                <w:rFonts w:ascii="宋体" w:hAnsi="宋体" w:cs="宋体"/>
                <w:kern w:val="0"/>
                <w:sz w:val="20"/>
                <w:szCs w:val="20"/>
              </w:rPr>
              <w:t>：8xUSB 2.0,</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串口 ：</w:t>
            </w:r>
            <w:r>
              <w:rPr>
                <w:rFonts w:ascii="宋体" w:hAnsi="宋体" w:cs="宋体"/>
                <w:kern w:val="0"/>
                <w:sz w:val="20"/>
                <w:szCs w:val="20"/>
              </w:rPr>
              <w:t>10xCOM</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音频：</w:t>
            </w:r>
            <w:r>
              <w:rPr>
                <w:rFonts w:ascii="宋体" w:hAnsi="宋体" w:cs="宋体"/>
                <w:kern w:val="0"/>
                <w:sz w:val="20"/>
                <w:szCs w:val="20"/>
              </w:rPr>
              <w:t>Line-out，Realtek ALC888芯片</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DIO</w:t>
            </w:r>
            <w:r>
              <w:rPr>
                <w:rFonts w:ascii="宋体" w:hAnsi="宋体" w:cs="宋体"/>
                <w:kern w:val="0"/>
                <w:sz w:val="20"/>
                <w:szCs w:val="20"/>
              </w:rPr>
              <w:t>： 16bit (输入输出软件可编程）</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 xml:space="preserve">LED </w:t>
            </w:r>
            <w:r>
              <w:rPr>
                <w:rFonts w:ascii="宋体" w:hAnsi="宋体" w:cs="宋体"/>
                <w:kern w:val="0"/>
                <w:sz w:val="20"/>
                <w:szCs w:val="20"/>
              </w:rPr>
              <w:t>指示灯  电源指示灯×1，HDD指示灯×1</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系统控制 电源开关×</w:t>
            </w:r>
            <w:r>
              <w:rPr>
                <w:rFonts w:ascii="宋体" w:hAnsi="宋体" w:cs="宋体"/>
                <w:kern w:val="0"/>
                <w:sz w:val="20"/>
                <w:szCs w:val="20"/>
              </w:rPr>
              <w:t xml:space="preserve"> 1，Reset x1</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看门狗定时器</w:t>
            </w:r>
            <w:r>
              <w:rPr>
                <w:rFonts w:ascii="宋体" w:hAnsi="宋体" w:cs="宋体"/>
                <w:kern w:val="0"/>
                <w:sz w:val="20"/>
                <w:szCs w:val="20"/>
              </w:rPr>
              <w:t xml:space="preserve">  可编程超时中断或系统复位</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操作系统</w:t>
            </w:r>
            <w:r>
              <w:rPr>
                <w:rFonts w:ascii="宋体" w:hAnsi="宋体" w:cs="宋体"/>
                <w:kern w:val="0"/>
                <w:sz w:val="20"/>
                <w:szCs w:val="20"/>
              </w:rPr>
              <w:t xml:space="preserve">  Windows 7, Windows 8, Linux Fedora Ubuntu</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电子栏杆（含车检器、红绿灯、手控盒、遥控器）</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栏杆臂长：</w:t>
            </w:r>
            <w:r>
              <w:rPr>
                <w:rFonts w:ascii="宋体" w:hAnsi="宋体" w:cs="宋体"/>
                <w:kern w:val="0"/>
                <w:sz w:val="20"/>
                <w:szCs w:val="20"/>
              </w:rPr>
              <w:t>3500～4000mm；</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w:t>
            </w:r>
            <w:r>
              <w:rPr>
                <w:rFonts w:ascii="宋体" w:hAnsi="宋体" w:cs="宋体"/>
                <w:kern w:val="0"/>
                <w:sz w:val="20"/>
                <w:szCs w:val="20"/>
              </w:rPr>
              <w:t>AC220V～240V/50Hz；</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温度范围：</w:t>
            </w:r>
            <w:r>
              <w:rPr>
                <w:rFonts w:ascii="宋体" w:hAnsi="宋体" w:cs="宋体"/>
                <w:kern w:val="0"/>
                <w:sz w:val="20"/>
                <w:szCs w:val="20"/>
              </w:rPr>
              <w:t>-40℃～75℃；</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湿度：≤</w:t>
            </w:r>
            <w:r>
              <w:rPr>
                <w:rFonts w:ascii="宋体" w:hAnsi="宋体" w:cs="宋体"/>
                <w:kern w:val="0"/>
                <w:sz w:val="20"/>
                <w:szCs w:val="20"/>
              </w:rPr>
              <w:t xml:space="preserve"> 95%；</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功率：待机≤</w:t>
            </w:r>
            <w:r>
              <w:rPr>
                <w:rFonts w:ascii="宋体" w:hAnsi="宋体" w:cs="宋体"/>
                <w:kern w:val="0"/>
                <w:sz w:val="20"/>
                <w:szCs w:val="20"/>
              </w:rPr>
              <w:t>80W，运行≤280W；</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机箱外壳防护等级：≥</w:t>
            </w:r>
            <w:r>
              <w:rPr>
                <w:rFonts w:ascii="宋体" w:hAnsi="宋体" w:cs="宋体"/>
                <w:kern w:val="0"/>
                <w:sz w:val="20"/>
                <w:szCs w:val="20"/>
              </w:rPr>
              <w:t>IP55级；</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噪声：≤</w:t>
            </w:r>
            <w:r>
              <w:rPr>
                <w:rFonts w:ascii="宋体" w:hAnsi="宋体" w:cs="宋体"/>
                <w:kern w:val="0"/>
                <w:sz w:val="20"/>
                <w:szCs w:val="20"/>
              </w:rPr>
              <w:t>65dB；</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具备防撞、防砸、红</w:t>
            </w:r>
            <w:r>
              <w:rPr>
                <w:rFonts w:ascii="宋体" w:hAnsi="宋体" w:cs="宋体"/>
                <w:kern w:val="0"/>
                <w:sz w:val="20"/>
                <w:szCs w:val="20"/>
              </w:rPr>
              <w:t>/绿灯功能，配套提供手控盒、遥控器等必要的辅助设备；</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自检功能：发生故障时设备自动发出告警信息；</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采用软刹车技术：栏杆低速、平稳到达终点，无弹跳，对机械部分无冲击；</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起落时间：≤</w:t>
            </w:r>
            <w:r>
              <w:rPr>
                <w:rFonts w:ascii="宋体" w:hAnsi="宋体" w:cs="宋体"/>
                <w:kern w:val="0"/>
                <w:sz w:val="20"/>
                <w:szCs w:val="20"/>
              </w:rPr>
              <w:t>1.8s</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无故障起落次数：≥</w:t>
            </w:r>
            <w:r>
              <w:rPr>
                <w:rFonts w:ascii="宋体" w:hAnsi="宋体" w:cs="宋体"/>
                <w:kern w:val="0"/>
                <w:sz w:val="20"/>
                <w:szCs w:val="20"/>
              </w:rPr>
              <w:t>150万次</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975" w:hRule="atLeast"/>
        </w:trPr>
        <w:tc>
          <w:tcPr>
            <w:tcW w:w="1200" w:type="dxa"/>
            <w:gridSpan w:val="3"/>
            <w:tcBorders>
              <w:left w:val="single" w:color="000000" w:sz="12" w:space="0"/>
              <w:bottom w:val="single" w:color="000000" w:sz="12" w:space="0"/>
              <w:right w:val="single" w:color="000000" w:sz="12"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c>
          <w:tcPr>
            <w:tcW w:w="1316" w:type="dxa"/>
            <w:tcBorders>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固态继电器（配底座</w:t>
            </w:r>
            <w:r>
              <w:rPr>
                <w:rFonts w:ascii="宋体" w:hAnsi="宋体" w:cs="宋体"/>
                <w:kern w:val="0"/>
                <w:sz w:val="20"/>
                <w:szCs w:val="20"/>
              </w:rPr>
              <w:t>P2RF-05-E）</w:t>
            </w:r>
          </w:p>
        </w:tc>
        <w:tc>
          <w:tcPr>
            <w:tcW w:w="4716" w:type="dxa"/>
            <w:gridSpan w:val="3"/>
            <w:tcBorders>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G3R-ODX02SN, DC5-24V</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10</w:t>
            </w: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c>
          <w:tcPr>
            <w:tcW w:w="1316" w:type="dxa"/>
            <w:vMerge w:val="restart"/>
            <w:tcBorders>
              <w:top w:val="single" w:color="000000" w:sz="12" w:space="0"/>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多串口卡</w:t>
            </w:r>
          </w:p>
        </w:tc>
        <w:tc>
          <w:tcPr>
            <w:tcW w:w="4716" w:type="dxa"/>
            <w:gridSpan w:val="3"/>
            <w:tcBorders>
              <w:top w:val="single" w:color="000000" w:sz="12" w:space="0"/>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端口数：</w:t>
            </w:r>
            <w:r>
              <w:rPr>
                <w:rFonts w:ascii="宋体" w:hAnsi="宋体" w:cs="宋体"/>
                <w:kern w:val="0"/>
                <w:sz w:val="20"/>
                <w:szCs w:val="20"/>
              </w:rPr>
              <w:t>8路；</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张</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1316" w:type="dxa"/>
            <w:vMerge w:val="continue"/>
            <w:tcBorders>
              <w:top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4716" w:type="dxa"/>
            <w:gridSpan w:val="3"/>
            <w:tcBorders>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接口类型：</w:t>
            </w:r>
            <w:r>
              <w:rPr>
                <w:rFonts w:ascii="宋体" w:hAnsi="宋体" w:cs="宋体"/>
                <w:kern w:val="0"/>
                <w:sz w:val="20"/>
                <w:szCs w:val="20"/>
              </w:rPr>
              <w:t>RS485；</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1316" w:type="dxa"/>
            <w:vMerge w:val="continue"/>
            <w:tcBorders>
              <w:top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4716" w:type="dxa"/>
            <w:gridSpan w:val="3"/>
            <w:tcBorders>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LED</w:t>
            </w:r>
            <w:r>
              <w:rPr>
                <w:rFonts w:ascii="宋体" w:hAnsi="宋体" w:cs="宋体"/>
                <w:kern w:val="0"/>
                <w:sz w:val="20"/>
                <w:szCs w:val="20"/>
              </w:rPr>
              <w:t>灯指示：扩展卡要求带Data+, Data-指示灯；</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735" w:hRule="atLeast"/>
        </w:trPr>
        <w:tc>
          <w:tcPr>
            <w:tcW w:w="1200" w:type="dxa"/>
            <w:gridSpan w:val="3"/>
            <w:vMerge w:val="continue"/>
            <w:tcBorders>
              <w:left w:val="single" w:color="000000" w:sz="12" w:space="0"/>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1316" w:type="dxa"/>
            <w:vMerge w:val="continue"/>
            <w:tcBorders>
              <w:top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4716" w:type="dxa"/>
            <w:gridSpan w:val="3"/>
            <w:tcBorders>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☆特别提示：为了保证系统的稳定性和设备的兼容性，要求此扩展卡与总线制控制器为同一品牌；</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c>
          <w:tcPr>
            <w:tcW w:w="1316" w:type="dxa"/>
            <w:tcBorders>
              <w:top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地感线圈</w:t>
            </w:r>
          </w:p>
        </w:tc>
        <w:tc>
          <w:tcPr>
            <w:tcW w:w="4716" w:type="dxa"/>
            <w:gridSpan w:val="3"/>
            <w:tcBorders>
              <w:top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r>
              <w:rPr>
                <w:rFonts w:ascii="宋体" w:hAnsi="宋体" w:cs="宋体"/>
                <w:kern w:val="0"/>
                <w:sz w:val="20"/>
                <w:szCs w:val="20"/>
              </w:rPr>
              <w:t>3000mm×1200mm；</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11</w:t>
            </w: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7</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车辆检测器</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感应自调范围：</w:t>
            </w:r>
            <w:r>
              <w:rPr>
                <w:rFonts w:ascii="宋体" w:hAnsi="宋体" w:cs="宋体"/>
                <w:kern w:val="0"/>
                <w:sz w:val="20"/>
                <w:szCs w:val="20"/>
              </w:rPr>
              <w:t>20～2000μH；</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灵敏度：Δ</w:t>
            </w:r>
            <w:r>
              <w:rPr>
                <w:rFonts w:ascii="宋体" w:hAnsi="宋体" w:cs="宋体"/>
                <w:kern w:val="0"/>
                <w:sz w:val="20"/>
                <w:szCs w:val="20"/>
              </w:rPr>
              <w:t>L 0.01%～2.56%，具16段调整；</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频率：</w:t>
            </w:r>
            <w:r>
              <w:rPr>
                <w:rFonts w:ascii="宋体" w:hAnsi="宋体" w:cs="宋体"/>
                <w:kern w:val="0"/>
                <w:sz w:val="20"/>
                <w:szCs w:val="20"/>
              </w:rPr>
              <w:t>20～80kHz；</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输出方式：二组独立继电器无电压接点输出；</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继电器容量：接点容量：</w:t>
            </w:r>
            <w:r>
              <w:rPr>
                <w:rFonts w:ascii="宋体" w:hAnsi="宋体" w:cs="宋体"/>
                <w:kern w:val="0"/>
                <w:sz w:val="20"/>
                <w:szCs w:val="20"/>
              </w:rPr>
              <w:t>110V AC, 10A/1100VA；</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线圈长度：＜</w:t>
            </w:r>
            <w:r>
              <w:rPr>
                <w:rFonts w:ascii="宋体" w:hAnsi="宋体" w:cs="宋体"/>
                <w:kern w:val="0"/>
                <w:sz w:val="20"/>
                <w:szCs w:val="20"/>
              </w:rPr>
              <w:t>500m；</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响应时间：</w:t>
            </w:r>
            <w:r>
              <w:rPr>
                <w:rFonts w:ascii="宋体" w:hAnsi="宋体" w:cs="宋体"/>
                <w:kern w:val="0"/>
                <w:sz w:val="20"/>
                <w:szCs w:val="20"/>
              </w:rPr>
              <w:t>10～45ms依灵敏度自动调整；</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电源：自选；</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工作温度：</w:t>
            </w:r>
            <w:r>
              <w:rPr>
                <w:rFonts w:ascii="宋体" w:hAnsi="宋体" w:cs="宋体"/>
                <w:kern w:val="0"/>
                <w:sz w:val="20"/>
                <w:szCs w:val="20"/>
              </w:rPr>
              <w:t>-40℃～+82℃；</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湿度：高达</w:t>
            </w:r>
            <w:r>
              <w:rPr>
                <w:rFonts w:ascii="宋体" w:hAnsi="宋体" w:cs="宋体"/>
                <w:kern w:val="0"/>
                <w:sz w:val="20"/>
                <w:szCs w:val="20"/>
              </w:rPr>
              <w:t>95%无冷凝；</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MTBF</w:t>
            </w:r>
            <w:r>
              <w:rPr>
                <w:rFonts w:ascii="宋体" w:hAnsi="宋体" w:cs="宋体"/>
                <w:kern w:val="0"/>
                <w:sz w:val="20"/>
                <w:szCs w:val="20"/>
              </w:rPr>
              <w:t>：≥800万次；</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8</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室外控制机柜</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材料：</w:t>
            </w:r>
            <w:r>
              <w:rPr>
                <w:rFonts w:ascii="宋体" w:hAnsi="宋体" w:cs="宋体"/>
                <w:kern w:val="0"/>
                <w:sz w:val="20"/>
                <w:szCs w:val="20"/>
              </w:rPr>
              <w:t>2mm优质钢；</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防护等级：</w:t>
            </w:r>
            <w:r>
              <w:rPr>
                <w:rFonts w:ascii="宋体" w:hAnsi="宋体" w:cs="宋体"/>
                <w:kern w:val="0"/>
                <w:sz w:val="20"/>
                <w:szCs w:val="20"/>
              </w:rPr>
              <w:t>IP56；</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9</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室内操作台</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材料：</w:t>
            </w:r>
            <w:r>
              <w:rPr>
                <w:rFonts w:ascii="宋体" w:hAnsi="宋体" w:cs="宋体"/>
                <w:kern w:val="0"/>
                <w:sz w:val="20"/>
                <w:szCs w:val="20"/>
              </w:rPr>
              <w:t>2mm优质钢；</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类型：</w:t>
            </w:r>
            <w:r>
              <w:rPr>
                <w:rFonts w:ascii="宋体" w:hAnsi="宋体" w:cs="宋体"/>
                <w:kern w:val="0"/>
                <w:sz w:val="20"/>
                <w:szCs w:val="20"/>
              </w:rPr>
              <w:t>2联；</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10</w:t>
            </w:r>
          </w:p>
        </w:tc>
        <w:tc>
          <w:tcPr>
            <w:tcW w:w="1316" w:type="dxa"/>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加热器</w:t>
            </w: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1200W</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11</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语音播报器</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喇叭功率：≥</w:t>
            </w:r>
            <w:r>
              <w:rPr>
                <w:rFonts w:ascii="宋体" w:hAnsi="宋体" w:cs="宋体"/>
                <w:kern w:val="0"/>
                <w:sz w:val="20"/>
                <w:szCs w:val="20"/>
              </w:rPr>
              <w:t>2w；</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音量：可调；</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接口：支持</w:t>
            </w:r>
            <w:r>
              <w:rPr>
                <w:rFonts w:ascii="宋体" w:hAnsi="宋体" w:cs="宋体"/>
                <w:kern w:val="0"/>
                <w:sz w:val="20"/>
                <w:szCs w:val="20"/>
              </w:rPr>
              <w:t>232/485 串口控制；</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音频格式：支持</w:t>
            </w:r>
            <w:r>
              <w:rPr>
                <w:rFonts w:ascii="宋体" w:hAnsi="宋体" w:cs="宋体"/>
                <w:kern w:val="0"/>
                <w:sz w:val="20"/>
                <w:szCs w:val="20"/>
              </w:rPr>
              <w:t>wav、mp3；</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电源：自选；</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12</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RS232</w:t>
            </w:r>
            <w:r>
              <w:rPr>
                <w:rFonts w:ascii="宋体" w:hAnsi="宋体" w:cs="宋体"/>
                <w:kern w:val="0"/>
                <w:sz w:val="20"/>
                <w:szCs w:val="20"/>
              </w:rPr>
              <w:t>转485转换器（含电源）</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波特率：</w:t>
            </w:r>
            <w:r>
              <w:rPr>
                <w:rFonts w:ascii="宋体" w:hAnsi="宋体" w:cs="宋体"/>
                <w:kern w:val="0"/>
                <w:sz w:val="20"/>
                <w:szCs w:val="20"/>
              </w:rPr>
              <w:t>50bps～912.6Kbps；</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串口保护：</w:t>
            </w:r>
            <w:r>
              <w:rPr>
                <w:rFonts w:ascii="宋体" w:hAnsi="宋体" w:cs="宋体"/>
                <w:kern w:val="0"/>
                <w:sz w:val="20"/>
                <w:szCs w:val="20"/>
              </w:rPr>
              <w:t>15KV ESD（所有信号）；</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光电隔离：</w:t>
            </w:r>
            <w:r>
              <w:rPr>
                <w:rFonts w:ascii="宋体" w:hAnsi="宋体" w:cs="宋体"/>
                <w:kern w:val="0"/>
                <w:sz w:val="20"/>
                <w:szCs w:val="20"/>
              </w:rPr>
              <w:t>2KV；</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反接保护：提供</w:t>
            </w:r>
            <w:r>
              <w:rPr>
                <w:rFonts w:ascii="宋体" w:hAnsi="宋体" w:cs="宋体"/>
                <w:kern w:val="0"/>
                <w:sz w:val="20"/>
                <w:szCs w:val="20"/>
              </w:rPr>
              <w:t>V+和V-反接电源保护；</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过流保护：信号短接保护；</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输入电压：</w:t>
            </w:r>
            <w:r>
              <w:rPr>
                <w:rFonts w:ascii="宋体" w:hAnsi="宋体" w:cs="宋体"/>
                <w:kern w:val="0"/>
                <w:sz w:val="20"/>
                <w:szCs w:val="20"/>
              </w:rPr>
              <w:t>12～48VDC；</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电源功耗：</w:t>
            </w:r>
            <w:r>
              <w:rPr>
                <w:rFonts w:ascii="宋体" w:hAnsi="宋体" w:cs="宋体"/>
                <w:kern w:val="0"/>
                <w:sz w:val="20"/>
                <w:szCs w:val="20"/>
              </w:rPr>
              <w:t>4.68W；</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工作温度：</w:t>
            </w:r>
            <w:r>
              <w:rPr>
                <w:rFonts w:ascii="宋体" w:hAnsi="宋体" w:cs="宋体"/>
                <w:kern w:val="0"/>
                <w:sz w:val="20"/>
                <w:szCs w:val="20"/>
              </w:rPr>
              <w:t>-20～60℃；</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工作湿度：</w:t>
            </w:r>
            <w:r>
              <w:rPr>
                <w:rFonts w:ascii="宋体" w:hAnsi="宋体" w:cs="宋体"/>
                <w:kern w:val="0"/>
                <w:sz w:val="20"/>
                <w:szCs w:val="20"/>
              </w:rPr>
              <w:t>5～90% RH；</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13</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网络交换机</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产品类型：千兆以太网交换机</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应用层级：二层</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背板带宽：</w:t>
            </w:r>
            <w:r>
              <w:rPr>
                <w:rFonts w:ascii="宋体" w:hAnsi="宋体" w:cs="宋体"/>
                <w:kern w:val="0"/>
                <w:sz w:val="20"/>
                <w:szCs w:val="20"/>
              </w:rPr>
              <w:t>32Gbps</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包转发率：暂无数据</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端口结构：非模块化</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电源电压：</w:t>
            </w:r>
            <w:r>
              <w:rPr>
                <w:rFonts w:ascii="宋体" w:hAnsi="宋体" w:cs="宋体"/>
                <w:kern w:val="0"/>
                <w:sz w:val="20"/>
                <w:szCs w:val="20"/>
              </w:rPr>
              <w:t>AC 100-240V，50-60Hz</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端口描述：</w:t>
            </w:r>
            <w:r>
              <w:rPr>
                <w:rFonts w:ascii="宋体" w:hAnsi="宋体" w:cs="宋体"/>
                <w:kern w:val="0"/>
                <w:sz w:val="20"/>
                <w:szCs w:val="20"/>
              </w:rPr>
              <w:t>16个10/100/1000BASE-T自协商的以太网端口</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电源功率：</w:t>
            </w:r>
            <w:r>
              <w:rPr>
                <w:rFonts w:ascii="宋体" w:hAnsi="宋体" w:cs="宋体"/>
                <w:kern w:val="0"/>
                <w:sz w:val="20"/>
                <w:szCs w:val="20"/>
              </w:rPr>
              <w:t>25W</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支持网络管理功能</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14</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前端集成子系统软件</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w:t>
            </w:r>
            <w:r>
              <w:rPr>
                <w:rFonts w:ascii="宋体" w:hAnsi="宋体" w:cs="宋体"/>
                <w:kern w:val="0"/>
                <w:sz w:val="20"/>
                <w:szCs w:val="20"/>
              </w:rPr>
              <w:t>、工作流管理。</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2</w:t>
            </w:r>
            <w:r>
              <w:rPr>
                <w:rFonts w:ascii="宋体" w:hAnsi="宋体" w:cs="宋体"/>
                <w:kern w:val="0"/>
                <w:sz w:val="20"/>
                <w:szCs w:val="20"/>
              </w:rPr>
              <w:t>、参数配置管理功能。</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3</w:t>
            </w:r>
            <w:r>
              <w:rPr>
                <w:rFonts w:ascii="宋体" w:hAnsi="宋体" w:cs="宋体"/>
                <w:kern w:val="0"/>
                <w:sz w:val="20"/>
                <w:szCs w:val="20"/>
              </w:rPr>
              <w:t>、运行日志管理功能。</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4</w:t>
            </w:r>
            <w:r>
              <w:rPr>
                <w:rFonts w:ascii="宋体" w:hAnsi="宋体" w:cs="宋体"/>
                <w:kern w:val="0"/>
                <w:sz w:val="20"/>
                <w:szCs w:val="20"/>
              </w:rPr>
              <w:t>、采集数据发送。</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5</w:t>
            </w:r>
            <w:r>
              <w:rPr>
                <w:rFonts w:ascii="宋体" w:hAnsi="宋体" w:cs="宋体"/>
                <w:kern w:val="0"/>
                <w:sz w:val="20"/>
                <w:szCs w:val="20"/>
              </w:rPr>
              <w:t>、放行指令接收。</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6</w:t>
            </w:r>
            <w:r>
              <w:rPr>
                <w:rFonts w:ascii="宋体" w:hAnsi="宋体" w:cs="宋体"/>
                <w:kern w:val="0"/>
                <w:sz w:val="20"/>
                <w:szCs w:val="20"/>
              </w:rPr>
              <w:t>、设备模块驱动管理。</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7</w:t>
            </w:r>
            <w:r>
              <w:rPr>
                <w:rFonts w:ascii="宋体" w:hAnsi="宋体" w:cs="宋体"/>
                <w:kern w:val="0"/>
                <w:sz w:val="20"/>
                <w:szCs w:val="20"/>
              </w:rPr>
              <w:t>、前端激活功能。</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8</w:t>
            </w:r>
            <w:r>
              <w:rPr>
                <w:rFonts w:ascii="宋体" w:hAnsi="宋体" w:cs="宋体"/>
                <w:kern w:val="0"/>
                <w:sz w:val="20"/>
                <w:szCs w:val="20"/>
              </w:rPr>
              <w:t>、多通道管理功能，支持一套前端集成子系统管理多条卡口通道的功能。</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9</w:t>
            </w:r>
            <w:r>
              <w:rPr>
                <w:rFonts w:ascii="宋体" w:hAnsi="宋体" w:cs="宋体"/>
                <w:kern w:val="0"/>
                <w:sz w:val="20"/>
                <w:szCs w:val="20"/>
              </w:rPr>
              <w:t>、JVM运行环境。</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10</w:t>
            </w:r>
            <w:r>
              <w:rPr>
                <w:rFonts w:ascii="宋体" w:hAnsi="宋体" w:cs="宋体"/>
                <w:kern w:val="0"/>
                <w:sz w:val="20"/>
                <w:szCs w:val="20"/>
              </w:rPr>
              <w:t>、本地derby嵌入式数据库。</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9630" w:type="dxa"/>
            <w:gridSpan w:val="11"/>
            <w:tcBorders>
              <w:left w:val="single" w:color="000000" w:sz="12" w:space="0"/>
              <w:bottom w:val="single" w:color="000000" w:sz="12" w:space="0"/>
            </w:tcBorders>
            <w:shd w:val="clear" w:color="auto" w:fill="FCD5B4"/>
            <w:vAlign w:val="center"/>
          </w:tcPr>
          <w:p>
            <w:pPr>
              <w:widowControl/>
              <w:jc w:val="left"/>
              <w:rPr>
                <w:rFonts w:ascii="宋体" w:hAnsi="宋体" w:cs="宋体"/>
                <w:kern w:val="0"/>
                <w:sz w:val="20"/>
                <w:szCs w:val="20"/>
              </w:rPr>
            </w:pPr>
            <w:r>
              <w:rPr>
                <w:rFonts w:hint="eastAsia" w:ascii="宋体" w:hAnsi="宋体" w:cs="宋体"/>
                <w:kern w:val="0"/>
                <w:sz w:val="20"/>
                <w:szCs w:val="20"/>
              </w:rPr>
              <w:t>6</w:t>
            </w:r>
            <w:r>
              <w:rPr>
                <w:rFonts w:ascii="宋体" w:hAnsi="宋体" w:cs="宋体"/>
                <w:kern w:val="0"/>
                <w:sz w:val="20"/>
                <w:szCs w:val="20"/>
              </w:rPr>
              <w:t>、可视对讲系统</w:t>
            </w: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shd w:val="clear" w:color="auto"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1316" w:type="dxa"/>
            <w:vMerge w:val="restart"/>
            <w:tcBorders>
              <w:bottom w:val="single" w:color="000000" w:sz="12" w:space="0"/>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IP</w:t>
            </w:r>
            <w:r>
              <w:rPr>
                <w:rFonts w:ascii="宋体" w:hAnsi="宋体" w:cs="宋体"/>
                <w:kern w:val="0"/>
                <w:sz w:val="20"/>
                <w:szCs w:val="20"/>
              </w:rPr>
              <w:t>网络可视对讲主机（含电源）</w:t>
            </w:r>
          </w:p>
        </w:tc>
        <w:tc>
          <w:tcPr>
            <w:tcW w:w="4716" w:type="dxa"/>
            <w:gridSpan w:val="3"/>
            <w:tcBorders>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分机管理：</w:t>
            </w:r>
            <w:r>
              <w:rPr>
                <w:rFonts w:ascii="宋体" w:hAnsi="宋体" w:cs="宋体"/>
                <w:kern w:val="0"/>
                <w:sz w:val="20"/>
                <w:szCs w:val="20"/>
              </w:rPr>
              <w:t>15路；</w:t>
            </w:r>
          </w:p>
        </w:tc>
        <w:tc>
          <w:tcPr>
            <w:tcW w:w="1199" w:type="dxa"/>
            <w:gridSpan w:val="2"/>
            <w:vMerge w:val="restart"/>
            <w:tcBorders>
              <w:bottom w:val="single" w:color="000000" w:sz="12" w:space="0"/>
              <w:right w:val="single" w:color="000000" w:sz="12" w:space="0"/>
            </w:tcBorders>
            <w:shd w:val="clear" w:color="auto" w:fill="FFFFFF"/>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99" w:type="dxa"/>
            <w:gridSpan w:val="2"/>
            <w:vMerge w:val="restart"/>
            <w:tcBorders>
              <w:bottom w:val="single" w:color="000000" w:sz="12" w:space="0"/>
              <w:right w:val="single" w:color="000000" w:sz="12" w:space="0"/>
            </w:tcBorders>
            <w:shd w:val="clear" w:color="auto"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4716" w:type="dxa"/>
            <w:gridSpan w:val="3"/>
            <w:tcBorders>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网络接口：</w:t>
            </w:r>
            <w:r>
              <w:rPr>
                <w:rFonts w:ascii="宋体" w:hAnsi="宋体" w:cs="宋体"/>
                <w:kern w:val="0"/>
                <w:sz w:val="20"/>
                <w:szCs w:val="20"/>
              </w:rPr>
              <w:t>RJ45；</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4716" w:type="dxa"/>
            <w:gridSpan w:val="3"/>
            <w:tcBorders>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网络协议：</w:t>
            </w:r>
            <w:r>
              <w:rPr>
                <w:rFonts w:ascii="宋体" w:hAnsi="宋体" w:cs="宋体"/>
                <w:kern w:val="0"/>
                <w:sz w:val="20"/>
                <w:szCs w:val="20"/>
              </w:rPr>
              <w:t>TCP/IP、UDP、IGMP；</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4716" w:type="dxa"/>
            <w:gridSpan w:val="3"/>
            <w:tcBorders>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信噪比：≥</w:t>
            </w:r>
            <w:r>
              <w:rPr>
                <w:rFonts w:ascii="宋体" w:hAnsi="宋体" w:cs="宋体"/>
                <w:kern w:val="0"/>
                <w:sz w:val="20"/>
                <w:szCs w:val="20"/>
              </w:rPr>
              <w:t>70dB；</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4716" w:type="dxa"/>
            <w:gridSpan w:val="3"/>
            <w:tcBorders>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摄像头：</w:t>
            </w:r>
            <w:r>
              <w:rPr>
                <w:rFonts w:ascii="宋体" w:hAnsi="宋体" w:cs="宋体"/>
                <w:kern w:val="0"/>
                <w:sz w:val="20"/>
                <w:szCs w:val="20"/>
              </w:rPr>
              <w:t>30万像素 ；</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4716" w:type="dxa"/>
            <w:gridSpan w:val="3"/>
            <w:tcBorders>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显示屏分辨率：</w:t>
            </w:r>
            <w:r>
              <w:rPr>
                <w:rFonts w:ascii="宋体" w:hAnsi="宋体" w:cs="宋体"/>
                <w:kern w:val="0"/>
                <w:sz w:val="20"/>
                <w:szCs w:val="20"/>
              </w:rPr>
              <w:t>1024x600像素 ；</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4716" w:type="dxa"/>
            <w:gridSpan w:val="3"/>
            <w:tcBorders>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工作温度：</w:t>
            </w:r>
            <w:r>
              <w:rPr>
                <w:rFonts w:ascii="宋体" w:hAnsi="宋体" w:cs="宋体"/>
                <w:kern w:val="0"/>
                <w:sz w:val="20"/>
                <w:szCs w:val="20"/>
              </w:rPr>
              <w:t>-10℃～70℃；</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4716" w:type="dxa"/>
            <w:gridSpan w:val="3"/>
            <w:tcBorders>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工作湿度：</w:t>
            </w:r>
            <w:r>
              <w:rPr>
                <w:rFonts w:ascii="宋体" w:hAnsi="宋体" w:cs="宋体"/>
                <w:kern w:val="0"/>
                <w:sz w:val="20"/>
                <w:szCs w:val="20"/>
              </w:rPr>
              <w:t>10%～90% ；</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通话方式：免提；</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IP</w:t>
            </w:r>
            <w:r>
              <w:rPr>
                <w:rFonts w:ascii="宋体" w:hAnsi="宋体" w:cs="宋体"/>
                <w:kern w:val="0"/>
                <w:sz w:val="20"/>
                <w:szCs w:val="20"/>
              </w:rPr>
              <w:t>网络可视分机</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网络接口：</w:t>
            </w:r>
            <w:r>
              <w:rPr>
                <w:rFonts w:ascii="宋体" w:hAnsi="宋体" w:cs="宋体"/>
                <w:kern w:val="0"/>
                <w:sz w:val="20"/>
                <w:szCs w:val="20"/>
              </w:rPr>
              <w:t>RJ45；</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网络协议：</w:t>
            </w:r>
            <w:r>
              <w:rPr>
                <w:rFonts w:ascii="宋体" w:hAnsi="宋体" w:cs="宋体"/>
                <w:kern w:val="0"/>
                <w:sz w:val="20"/>
                <w:szCs w:val="20"/>
              </w:rPr>
              <w:t>TCP/IP、UDP、IGMP；</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音频采样率：</w:t>
            </w:r>
            <w:r>
              <w:rPr>
                <w:rFonts w:ascii="宋体" w:hAnsi="宋体" w:cs="宋体"/>
                <w:kern w:val="0"/>
                <w:sz w:val="20"/>
                <w:szCs w:val="20"/>
              </w:rPr>
              <w:t>16K～48KHz；</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音频输出频率：</w:t>
            </w:r>
            <w:r>
              <w:rPr>
                <w:rFonts w:ascii="宋体" w:hAnsi="宋体" w:cs="宋体"/>
                <w:kern w:val="0"/>
                <w:sz w:val="20"/>
                <w:szCs w:val="20"/>
              </w:rPr>
              <w:t>20Hz～20KHz；</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谐波失真：≤</w:t>
            </w:r>
            <w:r>
              <w:rPr>
                <w:rFonts w:ascii="宋体" w:hAnsi="宋体" w:cs="宋体"/>
                <w:kern w:val="0"/>
                <w:sz w:val="20"/>
                <w:szCs w:val="20"/>
              </w:rPr>
              <w:t>0.5%；</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信噪比：≥</w:t>
            </w:r>
            <w:r>
              <w:rPr>
                <w:rFonts w:ascii="宋体" w:hAnsi="宋体" w:cs="宋体"/>
                <w:kern w:val="0"/>
                <w:sz w:val="20"/>
                <w:szCs w:val="20"/>
              </w:rPr>
              <w:t>70dB；</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MIC</w:t>
            </w:r>
            <w:r>
              <w:rPr>
                <w:rFonts w:ascii="宋体" w:hAnsi="宋体" w:cs="宋体"/>
                <w:kern w:val="0"/>
                <w:sz w:val="20"/>
                <w:szCs w:val="20"/>
              </w:rPr>
              <w:t>输入灵敏度：10mV；</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音频码流：</w:t>
            </w:r>
            <w:r>
              <w:rPr>
                <w:rFonts w:ascii="宋体" w:hAnsi="宋体" w:cs="宋体"/>
                <w:kern w:val="0"/>
                <w:sz w:val="20"/>
                <w:szCs w:val="20"/>
              </w:rPr>
              <w:t>16Kb～192Kb；</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像素：≥</w:t>
            </w:r>
            <w:r>
              <w:rPr>
                <w:rFonts w:ascii="宋体" w:hAnsi="宋体" w:cs="宋体"/>
                <w:kern w:val="0"/>
                <w:sz w:val="20"/>
                <w:szCs w:val="20"/>
              </w:rPr>
              <w:t>30万；</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功耗：＜</w:t>
            </w:r>
            <w:r>
              <w:rPr>
                <w:rFonts w:ascii="宋体" w:hAnsi="宋体" w:cs="宋体"/>
                <w:kern w:val="0"/>
                <w:sz w:val="20"/>
                <w:szCs w:val="20"/>
              </w:rPr>
              <w:t>9W；</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工作温度：</w:t>
            </w:r>
            <w:r>
              <w:rPr>
                <w:rFonts w:ascii="宋体" w:hAnsi="宋体" w:cs="宋体"/>
                <w:kern w:val="0"/>
                <w:sz w:val="20"/>
                <w:szCs w:val="20"/>
              </w:rPr>
              <w:t>-10℃～ 70℃；</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工作湿度：</w:t>
            </w:r>
            <w:r>
              <w:rPr>
                <w:rFonts w:ascii="宋体" w:hAnsi="宋体" w:cs="宋体"/>
                <w:kern w:val="0"/>
                <w:sz w:val="20"/>
                <w:szCs w:val="20"/>
              </w:rPr>
              <w:t>10%～90%；</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防护等级：</w:t>
            </w:r>
            <w:r>
              <w:rPr>
                <w:rFonts w:ascii="宋体" w:hAnsi="宋体" w:cs="宋体"/>
                <w:kern w:val="0"/>
                <w:sz w:val="20"/>
                <w:szCs w:val="20"/>
              </w:rPr>
              <w:t>IP65；</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IP</w:t>
            </w:r>
            <w:r>
              <w:rPr>
                <w:rFonts w:ascii="宋体" w:hAnsi="宋体" w:cs="宋体"/>
                <w:kern w:val="0"/>
                <w:sz w:val="20"/>
                <w:szCs w:val="20"/>
              </w:rPr>
              <w:t>网络地址盒</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用于主机和分机的</w:t>
            </w:r>
            <w:r>
              <w:rPr>
                <w:rFonts w:ascii="宋体" w:hAnsi="宋体" w:cs="宋体"/>
                <w:kern w:val="0"/>
                <w:sz w:val="20"/>
                <w:szCs w:val="20"/>
              </w:rPr>
              <w:t>IP地址注册查询、sip服务、音视频代理；</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接口方式：</w:t>
            </w:r>
            <w:r>
              <w:rPr>
                <w:rFonts w:ascii="宋体" w:hAnsi="宋体" w:cs="宋体"/>
                <w:kern w:val="0"/>
                <w:sz w:val="20"/>
                <w:szCs w:val="20"/>
              </w:rPr>
              <w:t>RJ45网络接口；</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网络交换机</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产品类型：千兆以太网交换机</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应用层级：二层</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背板带宽：</w:t>
            </w:r>
            <w:r>
              <w:rPr>
                <w:rFonts w:ascii="宋体" w:hAnsi="宋体" w:cs="宋体"/>
                <w:kern w:val="0"/>
                <w:sz w:val="20"/>
                <w:szCs w:val="20"/>
              </w:rPr>
              <w:t>32Gbps</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包转发率：暂无数据</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端口结构：非模块化</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电源电压：</w:t>
            </w:r>
            <w:r>
              <w:rPr>
                <w:rFonts w:ascii="宋体" w:hAnsi="宋体" w:cs="宋体"/>
                <w:kern w:val="0"/>
                <w:sz w:val="20"/>
                <w:szCs w:val="20"/>
              </w:rPr>
              <w:t>AC 100-240V，50-60Hz</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端口描述：</w:t>
            </w:r>
            <w:r>
              <w:rPr>
                <w:rFonts w:ascii="宋体" w:hAnsi="宋体" w:cs="宋体"/>
                <w:kern w:val="0"/>
                <w:sz w:val="20"/>
                <w:szCs w:val="20"/>
              </w:rPr>
              <w:t>16个10/100/1000BASE-T自协商的以太网端口</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电源功率：</w:t>
            </w:r>
            <w:r>
              <w:rPr>
                <w:rFonts w:ascii="宋体" w:hAnsi="宋体" w:cs="宋体"/>
                <w:kern w:val="0"/>
                <w:sz w:val="20"/>
                <w:szCs w:val="20"/>
              </w:rPr>
              <w:t>25W</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支持网络管理功能</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9630" w:type="dxa"/>
            <w:gridSpan w:val="11"/>
            <w:tcBorders>
              <w:left w:val="single" w:color="000000" w:sz="12" w:space="0"/>
              <w:bottom w:val="single" w:color="000000" w:sz="12" w:space="0"/>
            </w:tcBorders>
            <w:shd w:val="clear" w:color="auto" w:fill="FCD5B4"/>
            <w:vAlign w:val="center"/>
          </w:tcPr>
          <w:p>
            <w:pPr>
              <w:widowControl/>
              <w:jc w:val="left"/>
              <w:rPr>
                <w:rFonts w:ascii="宋体" w:hAnsi="宋体" w:cs="宋体"/>
                <w:kern w:val="0"/>
                <w:sz w:val="20"/>
                <w:szCs w:val="20"/>
              </w:rPr>
            </w:pPr>
            <w:r>
              <w:rPr>
                <w:rFonts w:hint="eastAsia" w:ascii="宋体" w:hAnsi="宋体" w:cs="宋体"/>
                <w:kern w:val="0"/>
                <w:sz w:val="20"/>
                <w:szCs w:val="20"/>
              </w:rPr>
              <w:t>7</w:t>
            </w:r>
            <w:r>
              <w:rPr>
                <w:rFonts w:ascii="宋体" w:hAnsi="宋体" w:cs="宋体"/>
                <w:kern w:val="0"/>
                <w:sz w:val="20"/>
                <w:szCs w:val="20"/>
              </w:rPr>
              <w:t>、卡口智能化管理系统</w:t>
            </w:r>
          </w:p>
        </w:tc>
      </w:tr>
      <w:tr>
        <w:tblPrEx>
          <w:tblLayout w:type="fixed"/>
          <w:tblCellMar>
            <w:top w:w="15" w:type="dxa"/>
            <w:left w:w="108" w:type="dxa"/>
            <w:bottom w:w="15" w:type="dxa"/>
            <w:right w:w="108" w:type="dxa"/>
          </w:tblCellMar>
        </w:tblPrEx>
        <w:trPr>
          <w:trHeight w:val="2655" w:hRule="atLeast"/>
        </w:trPr>
        <w:tc>
          <w:tcPr>
            <w:tcW w:w="1200" w:type="dxa"/>
            <w:gridSpan w:val="3"/>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1316" w:type="dxa"/>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服务器</w:t>
            </w: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标配</w:t>
            </w:r>
            <w:r>
              <w:rPr>
                <w:rFonts w:ascii="宋体" w:hAnsi="宋体" w:cs="宋体"/>
                <w:kern w:val="0"/>
                <w:sz w:val="20"/>
                <w:szCs w:val="20"/>
              </w:rPr>
              <w:t>1个英特尔 至强 处理器 E5-2620v4 (八核 2.1GHz,20MB共享三级缓存,85W) 可支持最大2个处理器; 标配16GB (1x16GB) DDR4-2400 智能内存, 最大支持24个DDR4内存插槽; 标配1个 Smart Array P440ar 智能SAS阵列控制器, 2G FBWC缓存, 支持RAID 0/1/5/6; 主板集成 iLO Management Engine (iLO4)远程管理芯片(标配含独立管理端口); 3个 PCIe 插槽; 标配8 个SAS  2.5英寸小尺寸(Smart Drive)标配3块 600GB 6G SAS 10K 2.5in SC ENT HDD硬盘; 标配4端口千兆网络适配器;</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975" w:hRule="atLeast"/>
        </w:trPr>
        <w:tc>
          <w:tcPr>
            <w:tcW w:w="1200" w:type="dxa"/>
            <w:gridSpan w:val="3"/>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1316" w:type="dxa"/>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光驱</w:t>
            </w: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USB</w:t>
            </w:r>
            <w:r>
              <w:rPr>
                <w:rFonts w:ascii="宋体" w:hAnsi="宋体" w:cs="宋体"/>
                <w:kern w:val="0"/>
                <w:sz w:val="20"/>
                <w:szCs w:val="20"/>
              </w:rPr>
              <w:t>移动光驱</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975" w:hRule="atLeast"/>
        </w:trPr>
        <w:tc>
          <w:tcPr>
            <w:tcW w:w="1200" w:type="dxa"/>
            <w:gridSpan w:val="3"/>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1316" w:type="dxa"/>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操作系统</w:t>
            </w: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 xml:space="preserve">windows server 2008 </w:t>
            </w:r>
            <w:r>
              <w:rPr>
                <w:rFonts w:ascii="宋体" w:hAnsi="宋体" w:cs="宋体"/>
                <w:kern w:val="0"/>
                <w:sz w:val="20"/>
                <w:szCs w:val="20"/>
              </w:rPr>
              <w:t>标准版 5用户；</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735" w:hRule="atLeast"/>
        </w:trPr>
        <w:tc>
          <w:tcPr>
            <w:tcW w:w="1200" w:type="dxa"/>
            <w:gridSpan w:val="3"/>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c>
          <w:tcPr>
            <w:tcW w:w="1316" w:type="dxa"/>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HBA</w:t>
            </w:r>
            <w:r>
              <w:rPr>
                <w:rFonts w:ascii="宋体" w:hAnsi="宋体" w:cs="宋体"/>
                <w:kern w:val="0"/>
                <w:sz w:val="20"/>
                <w:szCs w:val="20"/>
              </w:rPr>
              <w:t>卡</w:t>
            </w: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 xml:space="preserve">Qlogic FC 8Gb PCI-e </w:t>
            </w:r>
            <w:r>
              <w:rPr>
                <w:rFonts w:ascii="宋体" w:hAnsi="宋体" w:cs="宋体"/>
                <w:kern w:val="0"/>
                <w:sz w:val="20"/>
                <w:szCs w:val="20"/>
              </w:rPr>
              <w:t>单通道HBA</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块</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显示器</w:t>
            </w:r>
            <w:r>
              <w:rPr>
                <w:rFonts w:ascii="宋体" w:hAnsi="宋体" w:cs="宋体"/>
                <w:kern w:val="0"/>
                <w:sz w:val="20"/>
                <w:szCs w:val="20"/>
              </w:rPr>
              <w:t>/鼠标/键盘/KVM切换器</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19.5</w:t>
            </w:r>
            <w:r>
              <w:rPr>
                <w:rFonts w:ascii="宋体" w:hAnsi="宋体" w:cs="宋体"/>
                <w:kern w:val="0"/>
                <w:sz w:val="20"/>
                <w:szCs w:val="20"/>
              </w:rPr>
              <w:t>英寸液晶显示器；</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USB</w:t>
            </w:r>
            <w:r>
              <w:rPr>
                <w:rFonts w:ascii="宋体" w:hAnsi="宋体" w:cs="宋体"/>
                <w:kern w:val="0"/>
                <w:sz w:val="20"/>
                <w:szCs w:val="20"/>
              </w:rPr>
              <w:t>键盘；</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USB</w:t>
            </w:r>
            <w:r>
              <w:rPr>
                <w:rFonts w:ascii="宋体" w:hAnsi="宋体" w:cs="宋体"/>
                <w:kern w:val="0"/>
                <w:sz w:val="20"/>
                <w:szCs w:val="20"/>
              </w:rPr>
              <w:t>鼠标；</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w:t>
            </w:r>
            <w:r>
              <w:rPr>
                <w:rFonts w:ascii="宋体" w:hAnsi="宋体" w:cs="宋体"/>
                <w:kern w:val="0"/>
                <w:sz w:val="20"/>
                <w:szCs w:val="20"/>
              </w:rPr>
              <w:t>拖4KVM切换器；</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服务器机柜</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规格：</w:t>
            </w:r>
            <w:r>
              <w:rPr>
                <w:rFonts w:ascii="宋体" w:hAnsi="宋体" w:cs="宋体"/>
                <w:kern w:val="0"/>
                <w:sz w:val="20"/>
                <w:szCs w:val="20"/>
              </w:rPr>
              <w:t>600mm*1000mm*42U；</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固定层板</w:t>
            </w:r>
            <w:r>
              <w:rPr>
                <w:rFonts w:ascii="宋体" w:hAnsi="宋体" w:cs="宋体"/>
                <w:kern w:val="0"/>
                <w:sz w:val="20"/>
                <w:szCs w:val="20"/>
              </w:rPr>
              <w:t>3块；</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风扇组件</w:t>
            </w:r>
            <w:r>
              <w:rPr>
                <w:rFonts w:ascii="宋体" w:hAnsi="宋体" w:cs="宋体"/>
                <w:kern w:val="0"/>
                <w:sz w:val="20"/>
                <w:szCs w:val="20"/>
              </w:rPr>
              <w:t>1套配4只风机。</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7</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PDU</w:t>
            </w:r>
            <w:r>
              <w:rPr>
                <w:rFonts w:ascii="宋体" w:hAnsi="宋体" w:cs="宋体"/>
                <w:kern w:val="0"/>
                <w:sz w:val="20"/>
                <w:szCs w:val="20"/>
              </w:rPr>
              <w:t>【含专用防水接头】</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插孔：</w:t>
            </w:r>
            <w:r>
              <w:rPr>
                <w:rFonts w:ascii="宋体" w:hAnsi="宋体" w:cs="宋体"/>
                <w:kern w:val="0"/>
                <w:sz w:val="20"/>
                <w:szCs w:val="20"/>
              </w:rPr>
              <w:t>8位；</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输出线长度：</w:t>
            </w:r>
            <w:r>
              <w:rPr>
                <w:rFonts w:ascii="宋体" w:hAnsi="宋体" w:cs="宋体"/>
                <w:kern w:val="0"/>
                <w:sz w:val="20"/>
                <w:szCs w:val="20"/>
              </w:rPr>
              <w:t>3米；</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额定电压：</w:t>
            </w:r>
            <w:r>
              <w:rPr>
                <w:rFonts w:ascii="宋体" w:hAnsi="宋体" w:cs="宋体"/>
                <w:kern w:val="0"/>
                <w:sz w:val="20"/>
                <w:szCs w:val="20"/>
              </w:rPr>
              <w:t>250V；</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额定电流：</w:t>
            </w:r>
            <w:r>
              <w:rPr>
                <w:rFonts w:ascii="宋体" w:hAnsi="宋体" w:cs="宋体"/>
                <w:kern w:val="0"/>
                <w:sz w:val="20"/>
                <w:szCs w:val="20"/>
              </w:rPr>
              <w:t>10A；</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额定功率：</w:t>
            </w:r>
            <w:r>
              <w:rPr>
                <w:rFonts w:ascii="宋体" w:hAnsi="宋体" w:cs="宋体"/>
                <w:kern w:val="0"/>
                <w:sz w:val="20"/>
                <w:szCs w:val="20"/>
              </w:rPr>
              <w:t>2500W。</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8</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管理终端</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CPU</w:t>
            </w:r>
            <w:r>
              <w:rPr>
                <w:rFonts w:ascii="宋体" w:hAnsi="宋体" w:cs="宋体"/>
                <w:kern w:val="0"/>
                <w:sz w:val="20"/>
                <w:szCs w:val="20"/>
              </w:rPr>
              <w:t>：酷睿I3-6100</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内存：</w:t>
            </w:r>
            <w:r>
              <w:rPr>
                <w:rFonts w:ascii="宋体" w:hAnsi="宋体" w:cs="宋体"/>
                <w:kern w:val="0"/>
                <w:sz w:val="20"/>
                <w:szCs w:val="20"/>
              </w:rPr>
              <w:t>DDR4 4G；</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硬盘：</w:t>
            </w:r>
            <w:r>
              <w:rPr>
                <w:rFonts w:ascii="宋体" w:hAnsi="宋体" w:cs="宋体"/>
                <w:kern w:val="0"/>
                <w:sz w:val="20"/>
                <w:szCs w:val="20"/>
              </w:rPr>
              <w:t>500G；</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液晶显示器：</w:t>
            </w:r>
            <w:r>
              <w:rPr>
                <w:rFonts w:ascii="宋体" w:hAnsi="宋体" w:cs="宋体"/>
                <w:kern w:val="0"/>
                <w:sz w:val="20"/>
                <w:szCs w:val="20"/>
              </w:rPr>
              <w:t>LED19寸；</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USB</w:t>
            </w:r>
            <w:r>
              <w:rPr>
                <w:rFonts w:ascii="宋体" w:hAnsi="宋体" w:cs="宋体"/>
                <w:kern w:val="0"/>
                <w:sz w:val="20"/>
                <w:szCs w:val="20"/>
              </w:rPr>
              <w:t>键鼠；</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集成显卡</w:t>
            </w:r>
            <w:r>
              <w:rPr>
                <w:rFonts w:ascii="宋体" w:hAnsi="宋体" w:cs="宋体"/>
                <w:kern w:val="0"/>
                <w:sz w:val="20"/>
                <w:szCs w:val="20"/>
              </w:rPr>
              <w:t>/集成网卡百兆；</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DVD</w:t>
            </w:r>
            <w:r>
              <w:rPr>
                <w:rFonts w:ascii="宋体" w:hAnsi="宋体" w:cs="宋体"/>
                <w:kern w:val="0"/>
                <w:sz w:val="20"/>
                <w:szCs w:val="20"/>
              </w:rPr>
              <w:t>光驱</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操作系统：</w:t>
            </w:r>
            <w:r>
              <w:rPr>
                <w:rFonts w:ascii="宋体" w:hAnsi="宋体" w:cs="宋体"/>
                <w:kern w:val="0"/>
                <w:sz w:val="20"/>
                <w:szCs w:val="20"/>
              </w:rPr>
              <w:t>Windows操作系统；</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9</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网络交换机</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产品类型：千兆以太网交换机</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应用层级：二层</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背板带宽：</w:t>
            </w:r>
            <w:r>
              <w:rPr>
                <w:rFonts w:ascii="宋体" w:hAnsi="宋体" w:cs="宋体"/>
                <w:kern w:val="0"/>
                <w:sz w:val="20"/>
                <w:szCs w:val="20"/>
              </w:rPr>
              <w:t>32Gbps</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包转发率：暂无数据</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端口结构：非模块化</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电源电压：</w:t>
            </w:r>
            <w:r>
              <w:rPr>
                <w:rFonts w:ascii="宋体" w:hAnsi="宋体" w:cs="宋体"/>
                <w:kern w:val="0"/>
                <w:sz w:val="20"/>
                <w:szCs w:val="20"/>
              </w:rPr>
              <w:t>AC 100-240V，50-60Hz</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端口描述：</w:t>
            </w:r>
            <w:r>
              <w:rPr>
                <w:rFonts w:ascii="宋体" w:hAnsi="宋体" w:cs="宋体"/>
                <w:kern w:val="0"/>
                <w:sz w:val="20"/>
                <w:szCs w:val="20"/>
              </w:rPr>
              <w:t>16个10/100/1000BASE-T自协商的以太网端口</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电源功率：</w:t>
            </w:r>
            <w:r>
              <w:rPr>
                <w:rFonts w:ascii="宋体" w:hAnsi="宋体" w:cs="宋体"/>
                <w:kern w:val="0"/>
                <w:sz w:val="20"/>
                <w:szCs w:val="20"/>
              </w:rPr>
              <w:t>25W</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支持网络管理功能</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735" w:hRule="atLeast"/>
        </w:trPr>
        <w:tc>
          <w:tcPr>
            <w:tcW w:w="1200" w:type="dxa"/>
            <w:gridSpan w:val="3"/>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10</w:t>
            </w:r>
          </w:p>
        </w:tc>
        <w:tc>
          <w:tcPr>
            <w:tcW w:w="1316" w:type="dxa"/>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卡口现场服务子系统</w:t>
            </w: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实现卡口实时监控、软件版本管理、通道运维管理等功能</w:t>
            </w:r>
            <w:r>
              <w:rPr>
                <w:rFonts w:ascii="宋体" w:hAnsi="宋体" w:cs="宋体"/>
                <w:kern w:val="0"/>
                <w:sz w:val="20"/>
                <w:szCs w:val="20"/>
              </w:rPr>
              <w:t>,可根据通道实时设各状态变化,通过3D实景通道模拟展示通道状态；</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11</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卡口总线服务子系统</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w:t>
            </w:r>
            <w:r>
              <w:rPr>
                <w:rFonts w:ascii="宋体" w:hAnsi="宋体" w:cs="宋体"/>
                <w:kern w:val="0"/>
                <w:sz w:val="20"/>
                <w:szCs w:val="20"/>
              </w:rPr>
              <w:t>、连接前端集成子系统和现场服务子系统。</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73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2</w:t>
            </w:r>
            <w:r>
              <w:rPr>
                <w:rFonts w:ascii="宋体" w:hAnsi="宋体" w:cs="宋体"/>
                <w:kern w:val="0"/>
                <w:sz w:val="20"/>
                <w:szCs w:val="20"/>
              </w:rPr>
              <w:t>、数据转发，将前端集成子系统数据转发至现场服务子系统和海关后台系统。将现场服务子系统和海关后台系统数据转发至前端集成子系统。</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12</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卡口运维管理子系统软件</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1</w:t>
            </w:r>
            <w:r>
              <w:rPr>
                <w:rFonts w:ascii="宋体" w:hAnsi="宋体" w:cs="宋体"/>
                <w:kern w:val="0"/>
                <w:sz w:val="20"/>
                <w:szCs w:val="20"/>
              </w:rPr>
              <w:t>、实现对卡口前端的远程配置功能。</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2</w:t>
            </w:r>
            <w:r>
              <w:rPr>
                <w:rFonts w:ascii="宋体" w:hAnsi="宋体" w:cs="宋体"/>
                <w:kern w:val="0"/>
                <w:sz w:val="20"/>
                <w:szCs w:val="20"/>
              </w:rPr>
              <w:t>、实现对卡口前端的运行文件管理功能，实现前端文件库管理。</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3</w:t>
            </w:r>
            <w:r>
              <w:rPr>
                <w:rFonts w:ascii="宋体" w:hAnsi="宋体" w:cs="宋体"/>
                <w:kern w:val="0"/>
                <w:sz w:val="20"/>
                <w:szCs w:val="20"/>
              </w:rPr>
              <w:t>、实现卡口前端功能模块远程推送。</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73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4</w:t>
            </w:r>
            <w:r>
              <w:rPr>
                <w:rFonts w:ascii="宋体" w:hAnsi="宋体" w:cs="宋体"/>
                <w:kern w:val="0"/>
                <w:sz w:val="20"/>
                <w:szCs w:val="20"/>
              </w:rPr>
              <w:t>、在监控页面上远程获取前端日志列表，并获取前端日志文件保存到本地，供运维人员进行分析。</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5</w:t>
            </w:r>
            <w:r>
              <w:rPr>
                <w:rFonts w:ascii="宋体" w:hAnsi="宋体" w:cs="宋体"/>
                <w:kern w:val="0"/>
                <w:sz w:val="20"/>
                <w:szCs w:val="20"/>
              </w:rPr>
              <w:t>、远程获取应用服务器的日志文件到本地，供运维人员分析。</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13</w:t>
            </w:r>
          </w:p>
        </w:tc>
        <w:tc>
          <w:tcPr>
            <w:tcW w:w="1316" w:type="dxa"/>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与海关后台系统对接</w:t>
            </w: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满足海关后台系统数据对接要求；</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300" w:hRule="atLeast"/>
        </w:trPr>
        <w:tc>
          <w:tcPr>
            <w:tcW w:w="9630" w:type="dxa"/>
            <w:gridSpan w:val="11"/>
            <w:tcBorders>
              <w:left w:val="single" w:color="000000" w:sz="12" w:space="0"/>
              <w:bottom w:val="single" w:color="000000" w:sz="12" w:space="0"/>
            </w:tcBorders>
            <w:shd w:val="clear" w:color="auto" w:fill="FCD5B4"/>
            <w:vAlign w:val="center"/>
          </w:tcPr>
          <w:p>
            <w:pPr>
              <w:widowControl/>
              <w:jc w:val="left"/>
              <w:rPr>
                <w:rFonts w:ascii="宋体" w:hAnsi="宋体" w:cs="宋体"/>
                <w:kern w:val="0"/>
                <w:sz w:val="20"/>
                <w:szCs w:val="20"/>
              </w:rPr>
            </w:pPr>
            <w:r>
              <w:rPr>
                <w:rFonts w:hint="eastAsia" w:ascii="宋体" w:hAnsi="宋体" w:cs="宋体"/>
                <w:kern w:val="0"/>
                <w:sz w:val="20"/>
                <w:szCs w:val="20"/>
              </w:rPr>
              <w:t>8</w:t>
            </w:r>
            <w:r>
              <w:rPr>
                <w:rFonts w:ascii="宋体" w:hAnsi="宋体" w:cs="宋体"/>
                <w:kern w:val="0"/>
                <w:sz w:val="20"/>
                <w:szCs w:val="20"/>
              </w:rPr>
              <w:t>、通道视频监控系统</w:t>
            </w: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720P</w:t>
            </w:r>
            <w:r>
              <w:rPr>
                <w:rFonts w:ascii="宋体" w:hAnsi="宋体" w:cs="宋体"/>
                <w:kern w:val="0"/>
                <w:sz w:val="20"/>
                <w:szCs w:val="20"/>
              </w:rPr>
              <w:t>红外室外枪机（含电源）</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传感器≥</w:t>
            </w:r>
            <w:r>
              <w:rPr>
                <w:rFonts w:ascii="宋体" w:hAnsi="宋体" w:cs="宋体"/>
                <w:kern w:val="0"/>
                <w:sz w:val="20"/>
                <w:szCs w:val="20"/>
              </w:rPr>
              <w:t>1/3逐行扫描CMOS或CCD；</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10</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最低彩色照度：</w:t>
            </w:r>
            <w:r>
              <w:rPr>
                <w:rFonts w:ascii="宋体" w:hAnsi="宋体" w:cs="宋体"/>
                <w:kern w:val="0"/>
                <w:sz w:val="20"/>
                <w:szCs w:val="20"/>
              </w:rPr>
              <w:t>0.01Lux；</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水平分辨率：</w:t>
            </w:r>
            <w:r>
              <w:rPr>
                <w:rFonts w:ascii="宋体" w:hAnsi="宋体" w:cs="宋体"/>
                <w:kern w:val="0"/>
                <w:sz w:val="20"/>
                <w:szCs w:val="20"/>
              </w:rPr>
              <w:t>1280*960@30fps；</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镜头：</w:t>
            </w:r>
            <w:r>
              <w:rPr>
                <w:rFonts w:ascii="宋体" w:hAnsi="宋体" w:cs="宋体"/>
                <w:kern w:val="0"/>
                <w:sz w:val="20"/>
                <w:szCs w:val="20"/>
              </w:rPr>
              <w:t>8mm；</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支持</w:t>
            </w:r>
            <w:r>
              <w:rPr>
                <w:rFonts w:ascii="宋体" w:hAnsi="宋体" w:cs="宋体"/>
                <w:kern w:val="0"/>
                <w:sz w:val="20"/>
                <w:szCs w:val="20"/>
              </w:rPr>
              <w:t>H.264、MJPEG主流视频编码标准；</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红外距离≥</w:t>
            </w:r>
            <w:r>
              <w:rPr>
                <w:rFonts w:ascii="宋体" w:hAnsi="宋体" w:cs="宋体"/>
                <w:kern w:val="0"/>
                <w:sz w:val="20"/>
                <w:szCs w:val="20"/>
              </w:rPr>
              <w:t>30米；</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防护等级：</w:t>
            </w:r>
            <w:r>
              <w:rPr>
                <w:rFonts w:ascii="宋体" w:hAnsi="宋体" w:cs="宋体"/>
                <w:kern w:val="0"/>
                <w:sz w:val="20"/>
                <w:szCs w:val="20"/>
              </w:rPr>
              <w:t>IP66；</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电源：支持</w:t>
            </w:r>
            <w:r>
              <w:rPr>
                <w:rFonts w:ascii="宋体" w:hAnsi="宋体" w:cs="宋体"/>
                <w:kern w:val="0"/>
                <w:sz w:val="20"/>
                <w:szCs w:val="20"/>
              </w:rPr>
              <w:t>DC12V；</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1316" w:type="dxa"/>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摄像机安装支架及立柱</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采用镀锌钢材质制作；</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10</w:t>
            </w: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1316" w:type="dxa"/>
            <w:vMerge w:val="restart"/>
            <w:tcBorders>
              <w:top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NVR</w:t>
            </w:r>
          </w:p>
        </w:tc>
        <w:tc>
          <w:tcPr>
            <w:tcW w:w="4716" w:type="dxa"/>
            <w:gridSpan w:val="3"/>
            <w:tcBorders>
              <w:top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网络视频输入：</w:t>
            </w:r>
            <w:r>
              <w:rPr>
                <w:rFonts w:ascii="宋体" w:hAnsi="宋体" w:cs="宋体"/>
                <w:kern w:val="0"/>
                <w:sz w:val="20"/>
                <w:szCs w:val="20"/>
              </w:rPr>
              <w:t>16路；</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top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同步回放：</w:t>
            </w:r>
            <w:r>
              <w:rPr>
                <w:rFonts w:ascii="宋体" w:hAnsi="宋体" w:cs="宋体"/>
                <w:kern w:val="0"/>
                <w:sz w:val="20"/>
                <w:szCs w:val="20"/>
              </w:rPr>
              <w:t>16路；</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top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类型：</w:t>
            </w:r>
            <w:r>
              <w:rPr>
                <w:rFonts w:ascii="宋体" w:hAnsi="宋体" w:cs="宋体"/>
                <w:kern w:val="0"/>
                <w:sz w:val="20"/>
                <w:szCs w:val="20"/>
              </w:rPr>
              <w:t>16个SATA接口，1个eSATA接口；</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73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top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容量：每个接口均支持</w:t>
            </w:r>
            <w:r>
              <w:rPr>
                <w:rFonts w:ascii="宋体" w:hAnsi="宋体" w:cs="宋体"/>
                <w:kern w:val="0"/>
                <w:sz w:val="20"/>
                <w:szCs w:val="20"/>
              </w:rPr>
              <w:t>500GB/1TB/2TB/3TB/4TB/5TB/6TB 等容量硬盘；</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top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网络接口：</w:t>
            </w:r>
            <w:r>
              <w:rPr>
                <w:rFonts w:ascii="宋体" w:hAnsi="宋体" w:cs="宋体"/>
                <w:kern w:val="0"/>
                <w:sz w:val="20"/>
                <w:szCs w:val="20"/>
              </w:rPr>
              <w:t>2个，RJ45 10M/100M/1000M自适应以太网口；</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top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报警输入：</w:t>
            </w:r>
            <w:r>
              <w:rPr>
                <w:rFonts w:ascii="宋体" w:hAnsi="宋体" w:cs="宋体"/>
                <w:kern w:val="0"/>
                <w:sz w:val="20"/>
                <w:szCs w:val="20"/>
              </w:rPr>
              <w:t>16路；</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top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报警输出：</w:t>
            </w:r>
            <w:r>
              <w:rPr>
                <w:rFonts w:ascii="宋体" w:hAnsi="宋体" w:cs="宋体"/>
                <w:kern w:val="0"/>
                <w:sz w:val="20"/>
                <w:szCs w:val="20"/>
              </w:rPr>
              <w:t>4路；</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top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机箱：</w:t>
            </w:r>
            <w:r>
              <w:rPr>
                <w:rFonts w:ascii="宋体" w:hAnsi="宋体" w:cs="宋体"/>
                <w:kern w:val="0"/>
                <w:sz w:val="20"/>
                <w:szCs w:val="20"/>
              </w:rPr>
              <w:t>19英寸标准3U机箱；</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c>
          <w:tcPr>
            <w:tcW w:w="1316" w:type="dxa"/>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硬盘</w:t>
            </w: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4T</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块</w:t>
            </w:r>
          </w:p>
        </w:tc>
        <w:tc>
          <w:tcPr>
            <w:tcW w:w="1199" w:type="dxa"/>
            <w:gridSpan w:val="2"/>
            <w:tcBorders>
              <w:bottom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10</w:t>
            </w: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网络交换机</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产品类型：千兆以太网交换机</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应用层级：二层</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背板带宽：</w:t>
            </w:r>
            <w:r>
              <w:rPr>
                <w:rFonts w:ascii="宋体" w:hAnsi="宋体" w:cs="宋体"/>
                <w:kern w:val="0"/>
                <w:sz w:val="20"/>
                <w:szCs w:val="20"/>
              </w:rPr>
              <w:t>32Gbps</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包转发率：暂无数据</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端口结构：非模块化</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电源电压：</w:t>
            </w:r>
            <w:r>
              <w:rPr>
                <w:rFonts w:ascii="宋体" w:hAnsi="宋体" w:cs="宋体"/>
                <w:kern w:val="0"/>
                <w:sz w:val="20"/>
                <w:szCs w:val="20"/>
              </w:rPr>
              <w:t>AC 100-240V，50-60Hz</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495"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端口描述：</w:t>
            </w:r>
            <w:r>
              <w:rPr>
                <w:rFonts w:ascii="宋体" w:hAnsi="宋体" w:cs="宋体"/>
                <w:kern w:val="0"/>
                <w:sz w:val="20"/>
                <w:szCs w:val="20"/>
              </w:rPr>
              <w:t>16个10/100/1000BASE-T自协商的以太网端口</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电源功率：</w:t>
            </w:r>
            <w:r>
              <w:rPr>
                <w:rFonts w:ascii="宋体" w:hAnsi="宋体" w:cs="宋体"/>
                <w:kern w:val="0"/>
                <w:sz w:val="20"/>
                <w:szCs w:val="20"/>
              </w:rPr>
              <w:t>25W</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支持网络管理功能</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restart"/>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c>
          <w:tcPr>
            <w:tcW w:w="1316" w:type="dxa"/>
            <w:vMerge w:val="restart"/>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监控客户端电脑</w:t>
            </w: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CPU</w:t>
            </w:r>
            <w:r>
              <w:rPr>
                <w:rFonts w:ascii="宋体" w:hAnsi="宋体" w:cs="宋体"/>
                <w:kern w:val="0"/>
                <w:sz w:val="20"/>
                <w:szCs w:val="20"/>
              </w:rPr>
              <w:t>：酷睿i7；</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99" w:type="dxa"/>
            <w:gridSpan w:val="2"/>
            <w:vMerge w:val="restart"/>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内存：</w:t>
            </w:r>
            <w:r>
              <w:rPr>
                <w:rFonts w:ascii="宋体" w:hAnsi="宋体" w:cs="宋体"/>
                <w:kern w:val="0"/>
                <w:sz w:val="20"/>
                <w:szCs w:val="20"/>
              </w:rPr>
              <w:t>DDR3 4G；</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硬盘：</w:t>
            </w:r>
            <w:r>
              <w:rPr>
                <w:rFonts w:ascii="宋体" w:hAnsi="宋体" w:cs="宋体"/>
                <w:kern w:val="0"/>
                <w:sz w:val="20"/>
                <w:szCs w:val="20"/>
              </w:rPr>
              <w:t>1T；</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液晶显示器：</w:t>
            </w:r>
            <w:r>
              <w:rPr>
                <w:rFonts w:ascii="宋体" w:hAnsi="宋体" w:cs="宋体"/>
                <w:kern w:val="0"/>
                <w:sz w:val="20"/>
                <w:szCs w:val="20"/>
              </w:rPr>
              <w:t>LED19.5寸；</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USB</w:t>
            </w:r>
            <w:r>
              <w:rPr>
                <w:rFonts w:ascii="宋体" w:hAnsi="宋体" w:cs="宋体"/>
                <w:kern w:val="0"/>
                <w:sz w:val="20"/>
                <w:szCs w:val="20"/>
              </w:rPr>
              <w:t>键鼠；</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集成显卡</w:t>
            </w:r>
            <w:r>
              <w:rPr>
                <w:rFonts w:ascii="宋体" w:hAnsi="宋体" w:cs="宋体"/>
                <w:kern w:val="0"/>
                <w:sz w:val="20"/>
                <w:szCs w:val="20"/>
              </w:rPr>
              <w:t>/集成网卡百兆；</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DVD</w:t>
            </w:r>
            <w:r>
              <w:rPr>
                <w:rFonts w:ascii="宋体" w:hAnsi="宋体" w:cs="宋体"/>
                <w:kern w:val="0"/>
                <w:sz w:val="20"/>
                <w:szCs w:val="20"/>
              </w:rPr>
              <w:t>光驱</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1200" w:type="dxa"/>
            <w:gridSpan w:val="3"/>
            <w:vMerge w:val="continue"/>
            <w:tcBorders>
              <w:left w:val="single" w:color="000000" w:sz="12" w:space="0"/>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316" w:type="dxa"/>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操作系统：</w:t>
            </w:r>
            <w:r>
              <w:rPr>
                <w:rFonts w:ascii="宋体" w:hAnsi="宋体" w:cs="宋体"/>
                <w:kern w:val="0"/>
                <w:sz w:val="20"/>
                <w:szCs w:val="20"/>
              </w:rPr>
              <w:t>Windows操作系统。</w:t>
            </w: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c>
          <w:tcPr>
            <w:tcW w:w="1199" w:type="dxa"/>
            <w:gridSpan w:val="2"/>
            <w:vMerge w:val="continue"/>
            <w:tcBorders>
              <w:bottom w:val="single" w:color="000000" w:sz="12" w:space="0"/>
              <w:right w:val="single" w:color="000000" w:sz="12" w:space="0"/>
            </w:tcBorders>
            <w:vAlign w:val="center"/>
          </w:tcPr>
          <w:p>
            <w:pPr>
              <w:widowControl/>
              <w:jc w:val="left"/>
              <w:rPr>
                <w:rFonts w:ascii="宋体" w:hAnsi="宋体" w:cs="宋体"/>
                <w:kern w:val="0"/>
                <w:sz w:val="20"/>
                <w:szCs w:val="20"/>
              </w:rPr>
            </w:pPr>
          </w:p>
        </w:tc>
      </w:tr>
      <w:tr>
        <w:tblPrEx>
          <w:tblLayout w:type="fixed"/>
          <w:tblCellMar>
            <w:top w:w="15" w:type="dxa"/>
            <w:left w:w="108" w:type="dxa"/>
            <w:bottom w:w="15" w:type="dxa"/>
            <w:right w:w="108" w:type="dxa"/>
          </w:tblCellMar>
        </w:tblPrEx>
        <w:trPr>
          <w:trHeight w:val="300" w:hRule="atLeast"/>
        </w:trPr>
        <w:tc>
          <w:tcPr>
            <w:tcW w:w="9630" w:type="dxa"/>
            <w:gridSpan w:val="11"/>
            <w:tcBorders>
              <w:left w:val="single" w:color="000000" w:sz="12" w:space="0"/>
              <w:bottom w:val="single" w:color="000000" w:sz="12" w:space="0"/>
            </w:tcBorders>
            <w:shd w:val="clear" w:color="auto" w:fill="FCD5B4"/>
            <w:vAlign w:val="center"/>
          </w:tcPr>
          <w:p>
            <w:pPr>
              <w:widowControl/>
              <w:jc w:val="left"/>
              <w:rPr>
                <w:rFonts w:ascii="宋体" w:hAnsi="宋体" w:cs="宋体"/>
                <w:kern w:val="0"/>
                <w:sz w:val="20"/>
                <w:szCs w:val="20"/>
              </w:rPr>
            </w:pPr>
            <w:r>
              <w:rPr>
                <w:rFonts w:hint="eastAsia" w:ascii="宋体" w:hAnsi="宋体" w:cs="宋体"/>
                <w:kern w:val="0"/>
                <w:sz w:val="20"/>
                <w:szCs w:val="20"/>
              </w:rPr>
              <w:t>9</w:t>
            </w:r>
            <w:r>
              <w:rPr>
                <w:rFonts w:ascii="宋体" w:hAnsi="宋体" w:cs="宋体"/>
                <w:kern w:val="0"/>
                <w:sz w:val="20"/>
                <w:szCs w:val="20"/>
              </w:rPr>
              <w:t xml:space="preserve">、线材、辅材 </w:t>
            </w:r>
          </w:p>
        </w:tc>
      </w:tr>
      <w:tr>
        <w:tblPrEx>
          <w:tblLayout w:type="fixed"/>
          <w:tblCellMar>
            <w:top w:w="15" w:type="dxa"/>
            <w:left w:w="108" w:type="dxa"/>
            <w:bottom w:w="15" w:type="dxa"/>
            <w:right w:w="108" w:type="dxa"/>
          </w:tblCellMar>
        </w:tblPrEx>
        <w:trPr>
          <w:trHeight w:val="735" w:hRule="atLeast"/>
        </w:trPr>
        <w:tc>
          <w:tcPr>
            <w:tcW w:w="1200" w:type="dxa"/>
            <w:gridSpan w:val="3"/>
            <w:tcBorders>
              <w:left w:val="single" w:color="000000" w:sz="12" w:space="0"/>
              <w:bottom w:val="single" w:color="000000" w:sz="12" w:space="0"/>
              <w:right w:val="single" w:color="000000" w:sz="12"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1316" w:type="dxa"/>
            <w:tcBorders>
              <w:bottom w:val="single" w:color="000000" w:sz="12" w:space="0"/>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卡口设备机房线缆、辅材</w:t>
            </w:r>
          </w:p>
        </w:tc>
        <w:tc>
          <w:tcPr>
            <w:tcW w:w="4716" w:type="dxa"/>
            <w:gridSpan w:val="3"/>
            <w:tcBorders>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国标</w:t>
            </w:r>
          </w:p>
        </w:tc>
        <w:tc>
          <w:tcPr>
            <w:tcW w:w="1199" w:type="dxa"/>
            <w:gridSpan w:val="2"/>
            <w:tcBorders>
              <w:bottom w:val="single" w:color="000000" w:sz="12" w:space="0"/>
              <w:right w:val="single" w:color="000000" w:sz="12" w:space="0"/>
            </w:tcBorders>
            <w:shd w:val="clear" w:color="auto" w:fill="FFFFFF"/>
            <w:vAlign w:val="center"/>
          </w:tcPr>
          <w:p>
            <w:pPr>
              <w:widowControl/>
              <w:jc w:val="center"/>
              <w:rPr>
                <w:rFonts w:ascii="宋体" w:hAnsi="宋体" w:cs="宋体"/>
                <w:kern w:val="0"/>
                <w:sz w:val="20"/>
                <w:szCs w:val="20"/>
              </w:rPr>
            </w:pPr>
            <w:r>
              <w:rPr>
                <w:rFonts w:hint="eastAsia" w:ascii="宋体" w:hAnsi="宋体" w:cs="宋体"/>
                <w:kern w:val="0"/>
                <w:sz w:val="20"/>
                <w:szCs w:val="20"/>
              </w:rPr>
              <w:t>项</w:t>
            </w:r>
          </w:p>
        </w:tc>
        <w:tc>
          <w:tcPr>
            <w:tcW w:w="1199" w:type="dxa"/>
            <w:gridSpan w:val="2"/>
            <w:tcBorders>
              <w:bottom w:val="single" w:color="000000" w:sz="12" w:space="0"/>
              <w:right w:val="single" w:color="000000" w:sz="12" w:space="0"/>
            </w:tcBorders>
            <w:shd w:val="clear" w:color="auto"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495" w:hRule="atLeast"/>
        </w:trPr>
        <w:tc>
          <w:tcPr>
            <w:tcW w:w="1200" w:type="dxa"/>
            <w:gridSpan w:val="3"/>
            <w:tcBorders>
              <w:left w:val="single" w:color="000000" w:sz="12" w:space="0"/>
              <w:bottom w:val="single" w:color="000000" w:sz="12" w:space="0"/>
              <w:right w:val="single" w:color="000000" w:sz="12"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1316" w:type="dxa"/>
            <w:tcBorders>
              <w:bottom w:val="single" w:color="000000" w:sz="12" w:space="0"/>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卡口通道线缆、辅材</w:t>
            </w:r>
          </w:p>
        </w:tc>
        <w:tc>
          <w:tcPr>
            <w:tcW w:w="4716" w:type="dxa"/>
            <w:gridSpan w:val="3"/>
            <w:tcBorders>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国标</w:t>
            </w:r>
          </w:p>
        </w:tc>
        <w:tc>
          <w:tcPr>
            <w:tcW w:w="1199" w:type="dxa"/>
            <w:gridSpan w:val="2"/>
            <w:tcBorders>
              <w:bottom w:val="single" w:color="000000" w:sz="12" w:space="0"/>
              <w:right w:val="single" w:color="000000" w:sz="12" w:space="0"/>
            </w:tcBorders>
            <w:shd w:val="clear" w:color="auto" w:fill="FFFFFF"/>
            <w:vAlign w:val="center"/>
          </w:tcPr>
          <w:p>
            <w:pPr>
              <w:widowControl/>
              <w:jc w:val="center"/>
              <w:rPr>
                <w:rFonts w:ascii="宋体" w:hAnsi="宋体" w:cs="宋体"/>
                <w:kern w:val="0"/>
                <w:sz w:val="20"/>
                <w:szCs w:val="20"/>
              </w:rPr>
            </w:pPr>
            <w:r>
              <w:rPr>
                <w:rFonts w:hint="eastAsia" w:ascii="宋体" w:hAnsi="宋体" w:cs="宋体"/>
                <w:kern w:val="0"/>
                <w:sz w:val="20"/>
                <w:szCs w:val="20"/>
              </w:rPr>
              <w:t>项</w:t>
            </w:r>
          </w:p>
        </w:tc>
        <w:tc>
          <w:tcPr>
            <w:tcW w:w="1199" w:type="dxa"/>
            <w:gridSpan w:val="2"/>
            <w:tcBorders>
              <w:bottom w:val="single" w:color="000000" w:sz="12" w:space="0"/>
              <w:right w:val="single" w:color="000000" w:sz="12" w:space="0"/>
            </w:tcBorders>
            <w:shd w:val="clear" w:color="auto" w:fill="FFFFFF"/>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r>
      <w:tr>
        <w:tblPrEx>
          <w:tblLayout w:type="fixed"/>
          <w:tblCellMar>
            <w:top w:w="15" w:type="dxa"/>
            <w:left w:w="108" w:type="dxa"/>
            <w:bottom w:w="15" w:type="dxa"/>
            <w:right w:w="108" w:type="dxa"/>
          </w:tblCellMar>
        </w:tblPrEx>
        <w:trPr>
          <w:trHeight w:val="300" w:hRule="atLeast"/>
        </w:trPr>
        <w:tc>
          <w:tcPr>
            <w:tcW w:w="9630" w:type="dxa"/>
            <w:gridSpan w:val="11"/>
            <w:tcBorders>
              <w:left w:val="single" w:color="000000" w:sz="12" w:space="0"/>
              <w:bottom w:val="single" w:color="000000" w:sz="12" w:space="0"/>
            </w:tcBorders>
            <w:shd w:val="clear" w:color="auto" w:fill="FCD5B4"/>
            <w:vAlign w:val="center"/>
          </w:tcPr>
          <w:p>
            <w:pPr>
              <w:widowControl/>
              <w:jc w:val="left"/>
              <w:rPr>
                <w:rFonts w:ascii="宋体" w:hAnsi="宋体" w:cs="宋体"/>
                <w:kern w:val="0"/>
                <w:sz w:val="20"/>
                <w:szCs w:val="20"/>
              </w:rPr>
            </w:pPr>
            <w:r>
              <w:rPr>
                <w:rFonts w:hint="eastAsia" w:ascii="宋体" w:hAnsi="宋体" w:cs="宋体"/>
                <w:kern w:val="0"/>
                <w:sz w:val="20"/>
                <w:szCs w:val="20"/>
              </w:rPr>
              <w:t>10</w:t>
            </w:r>
            <w:r>
              <w:rPr>
                <w:rFonts w:ascii="宋体" w:hAnsi="宋体" w:cs="宋体"/>
                <w:kern w:val="0"/>
                <w:sz w:val="20"/>
                <w:szCs w:val="20"/>
              </w:rPr>
              <w:t xml:space="preserve">、设备防雷系统 </w:t>
            </w:r>
          </w:p>
        </w:tc>
      </w:tr>
      <w:tr>
        <w:tblPrEx>
          <w:tblLayout w:type="fixed"/>
          <w:tblCellMar>
            <w:top w:w="15" w:type="dxa"/>
            <w:left w:w="108" w:type="dxa"/>
            <w:bottom w:w="15" w:type="dxa"/>
            <w:right w:w="108" w:type="dxa"/>
          </w:tblCellMar>
        </w:tblPrEx>
        <w:trPr>
          <w:trHeight w:val="495" w:hRule="atLeast"/>
        </w:trPr>
        <w:tc>
          <w:tcPr>
            <w:tcW w:w="1200" w:type="dxa"/>
            <w:gridSpan w:val="3"/>
            <w:tcBorders>
              <w:left w:val="single" w:color="000000" w:sz="12" w:space="0"/>
              <w:bottom w:val="single" w:color="000000" w:sz="12" w:space="0"/>
              <w:right w:val="single" w:color="000000" w:sz="12"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1316" w:type="dxa"/>
            <w:tcBorders>
              <w:bottom w:val="single" w:color="000000" w:sz="12" w:space="0"/>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卡口设备机房防雷设备</w:t>
            </w:r>
          </w:p>
        </w:tc>
        <w:tc>
          <w:tcPr>
            <w:tcW w:w="4716" w:type="dxa"/>
            <w:gridSpan w:val="3"/>
            <w:tcBorders>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国标</w:t>
            </w:r>
          </w:p>
        </w:tc>
        <w:tc>
          <w:tcPr>
            <w:tcW w:w="1199" w:type="dxa"/>
            <w:gridSpan w:val="2"/>
            <w:tcBorders>
              <w:bottom w:val="single" w:color="000000" w:sz="12" w:space="0"/>
              <w:right w:val="single" w:color="000000" w:sz="12" w:space="0"/>
            </w:tcBorders>
            <w:shd w:val="clear" w:color="auto" w:fill="FFFFFF"/>
            <w:vAlign w:val="center"/>
          </w:tcPr>
          <w:p>
            <w:pPr>
              <w:widowControl/>
              <w:jc w:val="center"/>
              <w:rPr>
                <w:rFonts w:ascii="宋体" w:hAnsi="宋体" w:cs="宋体"/>
                <w:kern w:val="0"/>
                <w:sz w:val="20"/>
                <w:szCs w:val="20"/>
              </w:rPr>
            </w:pPr>
            <w:r>
              <w:rPr>
                <w:rFonts w:hint="eastAsia" w:ascii="宋体" w:hAnsi="宋体" w:cs="宋体"/>
                <w:kern w:val="0"/>
                <w:sz w:val="20"/>
                <w:szCs w:val="20"/>
              </w:rPr>
              <w:t>项</w:t>
            </w:r>
          </w:p>
        </w:tc>
        <w:tc>
          <w:tcPr>
            <w:tcW w:w="1199" w:type="dxa"/>
            <w:gridSpan w:val="2"/>
            <w:tcBorders>
              <w:bottom w:val="single" w:color="000000" w:sz="12" w:space="0"/>
              <w:right w:val="single" w:color="000000" w:sz="12" w:space="0"/>
            </w:tcBorders>
            <w:shd w:val="clear" w:color="auto"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495" w:hRule="atLeast"/>
        </w:trPr>
        <w:tc>
          <w:tcPr>
            <w:tcW w:w="1200" w:type="dxa"/>
            <w:gridSpan w:val="3"/>
            <w:tcBorders>
              <w:left w:val="single" w:color="000000" w:sz="12" w:space="0"/>
              <w:bottom w:val="single" w:color="000000" w:sz="12" w:space="0"/>
              <w:right w:val="single" w:color="000000" w:sz="12"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1316" w:type="dxa"/>
            <w:tcBorders>
              <w:bottom w:val="single" w:color="000000" w:sz="12" w:space="0"/>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卡口通道防雷设备</w:t>
            </w:r>
          </w:p>
        </w:tc>
        <w:tc>
          <w:tcPr>
            <w:tcW w:w="4716" w:type="dxa"/>
            <w:gridSpan w:val="3"/>
            <w:tcBorders>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国标</w:t>
            </w:r>
          </w:p>
        </w:tc>
        <w:tc>
          <w:tcPr>
            <w:tcW w:w="1199" w:type="dxa"/>
            <w:gridSpan w:val="2"/>
            <w:tcBorders>
              <w:bottom w:val="single" w:color="000000" w:sz="12" w:space="0"/>
              <w:right w:val="single" w:color="000000" w:sz="12" w:space="0"/>
            </w:tcBorders>
            <w:shd w:val="clear" w:color="auto" w:fill="FFFFFF"/>
            <w:vAlign w:val="center"/>
          </w:tcPr>
          <w:p>
            <w:pPr>
              <w:widowControl/>
              <w:jc w:val="center"/>
              <w:rPr>
                <w:rFonts w:ascii="宋体" w:hAnsi="宋体" w:cs="宋体"/>
                <w:kern w:val="0"/>
                <w:sz w:val="20"/>
                <w:szCs w:val="20"/>
              </w:rPr>
            </w:pPr>
            <w:r>
              <w:rPr>
                <w:rFonts w:hint="eastAsia" w:ascii="宋体" w:hAnsi="宋体" w:cs="宋体"/>
                <w:kern w:val="0"/>
                <w:sz w:val="20"/>
                <w:szCs w:val="20"/>
              </w:rPr>
              <w:t>项</w:t>
            </w:r>
          </w:p>
        </w:tc>
        <w:tc>
          <w:tcPr>
            <w:tcW w:w="1199" w:type="dxa"/>
            <w:gridSpan w:val="2"/>
            <w:tcBorders>
              <w:bottom w:val="single" w:color="000000" w:sz="12" w:space="0"/>
              <w:right w:val="single" w:color="000000" w:sz="12" w:space="0"/>
            </w:tcBorders>
            <w:shd w:val="clear" w:color="auto" w:fill="FFFFFF"/>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r>
      <w:tr>
        <w:tblPrEx>
          <w:tblLayout w:type="fixed"/>
          <w:tblCellMar>
            <w:top w:w="15" w:type="dxa"/>
            <w:left w:w="108" w:type="dxa"/>
            <w:bottom w:w="15" w:type="dxa"/>
            <w:right w:w="108" w:type="dxa"/>
          </w:tblCellMar>
        </w:tblPrEx>
        <w:trPr>
          <w:trHeight w:val="300" w:hRule="atLeast"/>
        </w:trPr>
        <w:tc>
          <w:tcPr>
            <w:tcW w:w="9630" w:type="dxa"/>
            <w:gridSpan w:val="11"/>
            <w:tcBorders>
              <w:left w:val="single" w:color="000000" w:sz="12" w:space="0"/>
              <w:bottom w:val="single" w:color="000000" w:sz="12" w:space="0"/>
            </w:tcBorders>
            <w:shd w:val="clear" w:color="auto" w:fill="FCD5B4"/>
            <w:vAlign w:val="center"/>
          </w:tcPr>
          <w:p>
            <w:pPr>
              <w:widowControl/>
              <w:jc w:val="left"/>
              <w:rPr>
                <w:rFonts w:ascii="宋体" w:hAnsi="宋体" w:cs="宋体"/>
                <w:kern w:val="0"/>
                <w:sz w:val="20"/>
                <w:szCs w:val="20"/>
              </w:rPr>
            </w:pPr>
            <w:r>
              <w:rPr>
                <w:rFonts w:hint="eastAsia" w:ascii="宋体" w:hAnsi="宋体" w:cs="宋体"/>
                <w:kern w:val="0"/>
                <w:sz w:val="20"/>
                <w:szCs w:val="20"/>
              </w:rPr>
              <w:t>11</w:t>
            </w:r>
            <w:r>
              <w:rPr>
                <w:rFonts w:ascii="宋体" w:hAnsi="宋体" w:cs="宋体"/>
                <w:kern w:val="0"/>
                <w:sz w:val="20"/>
                <w:szCs w:val="20"/>
              </w:rPr>
              <w:t>、卡口设备配电系统</w:t>
            </w:r>
          </w:p>
        </w:tc>
      </w:tr>
      <w:tr>
        <w:tblPrEx>
          <w:tblLayout w:type="fixed"/>
          <w:tblCellMar>
            <w:top w:w="15" w:type="dxa"/>
            <w:left w:w="108" w:type="dxa"/>
            <w:bottom w:w="15" w:type="dxa"/>
            <w:right w:w="108" w:type="dxa"/>
          </w:tblCellMar>
        </w:tblPrEx>
        <w:trPr>
          <w:trHeight w:val="495" w:hRule="atLeast"/>
        </w:trPr>
        <w:tc>
          <w:tcPr>
            <w:tcW w:w="1200" w:type="dxa"/>
            <w:gridSpan w:val="3"/>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1316" w:type="dxa"/>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UPS</w:t>
            </w:r>
            <w:r>
              <w:rPr>
                <w:rFonts w:ascii="宋体" w:hAnsi="宋体" w:cs="宋体"/>
                <w:kern w:val="0"/>
                <w:sz w:val="20"/>
                <w:szCs w:val="20"/>
              </w:rPr>
              <w:t>电源</w:t>
            </w: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功率：</w:t>
            </w:r>
            <w:r>
              <w:rPr>
                <w:rFonts w:ascii="宋体" w:hAnsi="宋体" w:cs="宋体"/>
                <w:kern w:val="0"/>
                <w:sz w:val="20"/>
                <w:szCs w:val="20"/>
              </w:rPr>
              <w:t>20KVA；三进单出；380V（1小时后备电池）</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735" w:hRule="atLeast"/>
        </w:trPr>
        <w:tc>
          <w:tcPr>
            <w:tcW w:w="1200" w:type="dxa"/>
            <w:gridSpan w:val="3"/>
            <w:tcBorders>
              <w:left w:val="single" w:color="000000" w:sz="12" w:space="0"/>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1316" w:type="dxa"/>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UPS</w:t>
            </w:r>
            <w:r>
              <w:rPr>
                <w:rFonts w:ascii="宋体" w:hAnsi="宋体" w:cs="宋体"/>
                <w:kern w:val="0"/>
                <w:sz w:val="20"/>
                <w:szCs w:val="20"/>
              </w:rPr>
              <w:t>主机及电池机组支架</w:t>
            </w:r>
          </w:p>
        </w:tc>
        <w:tc>
          <w:tcPr>
            <w:tcW w:w="4716" w:type="dxa"/>
            <w:gridSpan w:val="3"/>
            <w:tcBorders>
              <w:bottom w:val="single" w:color="000000" w:sz="12" w:space="0"/>
              <w:right w:val="single" w:color="000000" w:sz="12" w:space="0"/>
            </w:tcBorders>
            <w:vAlign w:val="center"/>
          </w:tcPr>
          <w:p>
            <w:pPr>
              <w:widowControl/>
              <w:jc w:val="left"/>
              <w:rPr>
                <w:rFonts w:ascii="宋体" w:hAnsi="宋体" w:cs="宋体"/>
                <w:kern w:val="0"/>
                <w:sz w:val="20"/>
                <w:szCs w:val="20"/>
              </w:rPr>
            </w:pPr>
            <w:r>
              <w:rPr>
                <w:rFonts w:ascii="宋体" w:hAnsi="宋体" w:cs="宋体"/>
                <w:kern w:val="0"/>
                <w:sz w:val="20"/>
                <w:szCs w:val="20"/>
              </w:rPr>
              <w:t>4×40mm角钢；</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99" w:type="dxa"/>
            <w:gridSpan w:val="2"/>
            <w:tcBorders>
              <w:bottom w:val="single" w:color="000000" w:sz="12" w:space="0"/>
              <w:right w:val="single" w:color="000000" w:sz="12"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735" w:hRule="atLeast"/>
        </w:trPr>
        <w:tc>
          <w:tcPr>
            <w:tcW w:w="1200" w:type="dxa"/>
            <w:gridSpan w:val="3"/>
            <w:tcBorders>
              <w:left w:val="single" w:color="000000" w:sz="12" w:space="0"/>
              <w:bottom w:val="single" w:color="000000" w:sz="12" w:space="0"/>
              <w:right w:val="single" w:color="000000" w:sz="12"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1316" w:type="dxa"/>
            <w:tcBorders>
              <w:bottom w:val="single" w:color="000000" w:sz="12" w:space="0"/>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卡口设备机房总配电系统设备</w:t>
            </w:r>
          </w:p>
        </w:tc>
        <w:tc>
          <w:tcPr>
            <w:tcW w:w="4716" w:type="dxa"/>
            <w:gridSpan w:val="3"/>
            <w:tcBorders>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国标，且满足现场用电需求；</w:t>
            </w:r>
          </w:p>
        </w:tc>
        <w:tc>
          <w:tcPr>
            <w:tcW w:w="1199" w:type="dxa"/>
            <w:gridSpan w:val="2"/>
            <w:tcBorders>
              <w:bottom w:val="single" w:color="000000" w:sz="12" w:space="0"/>
              <w:right w:val="single" w:color="000000" w:sz="12" w:space="0"/>
            </w:tcBorders>
            <w:shd w:val="clear" w:color="auto" w:fill="FFFFFF"/>
            <w:vAlign w:val="center"/>
          </w:tcPr>
          <w:p>
            <w:pPr>
              <w:widowControl/>
              <w:jc w:val="center"/>
              <w:rPr>
                <w:rFonts w:ascii="宋体" w:hAnsi="宋体" w:cs="宋体"/>
                <w:kern w:val="0"/>
                <w:sz w:val="20"/>
                <w:szCs w:val="20"/>
              </w:rPr>
            </w:pPr>
            <w:r>
              <w:rPr>
                <w:rFonts w:hint="eastAsia" w:ascii="宋体" w:hAnsi="宋体" w:cs="宋体"/>
                <w:kern w:val="0"/>
                <w:sz w:val="20"/>
                <w:szCs w:val="20"/>
              </w:rPr>
              <w:t>项</w:t>
            </w:r>
          </w:p>
        </w:tc>
        <w:tc>
          <w:tcPr>
            <w:tcW w:w="1199" w:type="dxa"/>
            <w:gridSpan w:val="2"/>
            <w:tcBorders>
              <w:bottom w:val="single" w:color="000000" w:sz="12" w:space="0"/>
              <w:right w:val="single" w:color="000000" w:sz="12" w:space="0"/>
            </w:tcBorders>
            <w:shd w:val="clear" w:color="auto"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15" w:type="dxa"/>
            <w:left w:w="108" w:type="dxa"/>
            <w:bottom w:w="15" w:type="dxa"/>
            <w:right w:w="108" w:type="dxa"/>
          </w:tblCellMar>
        </w:tblPrEx>
        <w:trPr>
          <w:trHeight w:val="735" w:hRule="atLeast"/>
        </w:trPr>
        <w:tc>
          <w:tcPr>
            <w:tcW w:w="1200" w:type="dxa"/>
            <w:gridSpan w:val="3"/>
            <w:tcBorders>
              <w:left w:val="single" w:color="000000" w:sz="12" w:space="0"/>
              <w:bottom w:val="single" w:color="000000" w:sz="12" w:space="0"/>
              <w:right w:val="single" w:color="000000" w:sz="12" w:space="0"/>
            </w:tcBorders>
            <w:shd w:val="clear" w:color="auto" w:fill="auto"/>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c>
          <w:tcPr>
            <w:tcW w:w="1316" w:type="dxa"/>
            <w:tcBorders>
              <w:bottom w:val="single" w:color="000000" w:sz="12" w:space="0"/>
              <w:right w:val="single" w:color="000000" w:sz="12" w:space="0"/>
            </w:tcBorders>
            <w:shd w:val="clear" w:color="auto" w:fill="FFFFFF"/>
            <w:vAlign w:val="center"/>
          </w:tcPr>
          <w:p>
            <w:pPr>
              <w:widowControl/>
              <w:jc w:val="left"/>
              <w:rPr>
                <w:rFonts w:ascii="宋体" w:hAnsi="宋体" w:cs="宋体"/>
                <w:kern w:val="0"/>
                <w:sz w:val="20"/>
                <w:szCs w:val="20"/>
              </w:rPr>
            </w:pPr>
            <w:r>
              <w:rPr>
                <w:rFonts w:hint="eastAsia" w:ascii="宋体" w:hAnsi="宋体" w:cs="宋体"/>
                <w:kern w:val="0"/>
                <w:sz w:val="20"/>
                <w:szCs w:val="20"/>
              </w:rPr>
              <w:t>卡口通道机柜配电系统设备</w:t>
            </w:r>
          </w:p>
        </w:tc>
        <w:tc>
          <w:tcPr>
            <w:tcW w:w="4716" w:type="dxa"/>
            <w:gridSpan w:val="3"/>
            <w:tcBorders>
              <w:bottom w:val="single" w:color="000000" w:sz="12" w:space="0"/>
              <w:right w:val="single" w:color="000000" w:sz="12"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国标，且满足现场用电需求；</w:t>
            </w:r>
          </w:p>
        </w:tc>
        <w:tc>
          <w:tcPr>
            <w:tcW w:w="1199" w:type="dxa"/>
            <w:gridSpan w:val="2"/>
            <w:tcBorders>
              <w:bottom w:val="single" w:color="000000" w:sz="12" w:space="0"/>
              <w:right w:val="single" w:color="000000" w:sz="12" w:space="0"/>
            </w:tcBorders>
            <w:shd w:val="clear" w:color="auto" w:fill="FFFFFF"/>
            <w:vAlign w:val="center"/>
          </w:tcPr>
          <w:p>
            <w:pPr>
              <w:widowControl/>
              <w:jc w:val="center"/>
              <w:rPr>
                <w:rFonts w:ascii="宋体" w:hAnsi="宋体" w:cs="宋体"/>
                <w:kern w:val="0"/>
                <w:sz w:val="20"/>
                <w:szCs w:val="20"/>
              </w:rPr>
            </w:pPr>
            <w:r>
              <w:rPr>
                <w:rFonts w:hint="eastAsia" w:ascii="宋体" w:hAnsi="宋体" w:cs="宋体"/>
                <w:kern w:val="0"/>
                <w:sz w:val="20"/>
                <w:szCs w:val="20"/>
              </w:rPr>
              <w:t>项</w:t>
            </w:r>
          </w:p>
        </w:tc>
        <w:tc>
          <w:tcPr>
            <w:tcW w:w="1199" w:type="dxa"/>
            <w:gridSpan w:val="2"/>
            <w:tcBorders>
              <w:bottom w:val="single" w:color="000000" w:sz="12" w:space="0"/>
              <w:right w:val="single" w:color="000000" w:sz="12" w:space="0"/>
            </w:tcBorders>
            <w:shd w:val="clear" w:color="auto" w:fill="FFFFFF"/>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r>
      <w:tr>
        <w:tblPrEx>
          <w:tblLayout w:type="fixed"/>
          <w:tblCellMar>
            <w:top w:w="0" w:type="dxa"/>
            <w:left w:w="108" w:type="dxa"/>
            <w:bottom w:w="0" w:type="dxa"/>
            <w:right w:w="108" w:type="dxa"/>
          </w:tblCellMar>
        </w:tblPrEx>
        <w:trPr>
          <w:gridBefore w:val="1"/>
          <w:gridAfter w:val="1"/>
          <w:wBefore w:w="15" w:type="dxa"/>
          <w:wAfter w:w="795" w:type="dxa"/>
          <w:trHeight w:val="375" w:hRule="atLeast"/>
        </w:trPr>
        <w:tc>
          <w:tcPr>
            <w:tcW w:w="8820" w:type="dxa"/>
            <w:gridSpan w:val="9"/>
            <w:tcBorders>
              <w:top w:val="nil"/>
              <w:left w:val="nil"/>
              <w:bottom w:val="nil"/>
              <w:right w:val="nil"/>
            </w:tcBorders>
            <w:vAlign w:val="center"/>
          </w:tcPr>
          <w:p>
            <w:pPr>
              <w:widowControl/>
              <w:jc w:val="center"/>
              <w:rPr>
                <w:rFonts w:ascii="宋体" w:hAnsi="宋体" w:cs="宋体"/>
                <w:b/>
                <w:bCs/>
                <w:kern w:val="0"/>
                <w:sz w:val="28"/>
                <w:szCs w:val="28"/>
              </w:rPr>
            </w:pPr>
            <w:r>
              <w:rPr>
                <w:rFonts w:hint="eastAsia" w:ascii="宋体" w:hAnsi="宋体" w:cs="宋体"/>
                <w:b/>
                <w:bCs/>
                <w:kern w:val="0"/>
                <w:sz w:val="28"/>
                <w:szCs w:val="28"/>
              </w:rPr>
              <w:t>安防监控</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single" w:color="auto" w:sz="4" w:space="0"/>
              <w:left w:val="single" w:color="auto" w:sz="4" w:space="0"/>
              <w:bottom w:val="single" w:color="auto" w:sz="4" w:space="0"/>
              <w:right w:val="single" w:color="auto" w:sz="4" w:space="0"/>
            </w:tcBorders>
            <w:shd w:val="clear" w:color="000000" w:fill="FFC0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序号</w:t>
            </w:r>
          </w:p>
        </w:tc>
        <w:tc>
          <w:tcPr>
            <w:tcW w:w="2380" w:type="dxa"/>
            <w:gridSpan w:val="3"/>
            <w:tcBorders>
              <w:top w:val="single" w:color="auto" w:sz="4" w:space="0"/>
              <w:left w:val="nil"/>
              <w:bottom w:val="single" w:color="auto" w:sz="4" w:space="0"/>
              <w:right w:val="single" w:color="auto" w:sz="4" w:space="0"/>
            </w:tcBorders>
            <w:shd w:val="clear" w:color="000000" w:fill="FFC0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设备名称</w:t>
            </w:r>
          </w:p>
        </w:tc>
        <w:tc>
          <w:tcPr>
            <w:tcW w:w="3760" w:type="dxa"/>
            <w:tcBorders>
              <w:top w:val="single" w:color="auto" w:sz="4" w:space="0"/>
              <w:left w:val="nil"/>
              <w:bottom w:val="single" w:color="auto" w:sz="4" w:space="0"/>
              <w:right w:val="single" w:color="auto" w:sz="4" w:space="0"/>
            </w:tcBorders>
            <w:shd w:val="clear" w:color="000000" w:fill="FFC0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技术参数</w:t>
            </w:r>
          </w:p>
        </w:tc>
        <w:tc>
          <w:tcPr>
            <w:tcW w:w="900" w:type="dxa"/>
            <w:gridSpan w:val="2"/>
            <w:tcBorders>
              <w:top w:val="single" w:color="auto" w:sz="4" w:space="0"/>
              <w:left w:val="nil"/>
              <w:bottom w:val="single" w:color="auto" w:sz="4" w:space="0"/>
              <w:right w:val="single" w:color="auto" w:sz="4" w:space="0"/>
            </w:tcBorders>
            <w:shd w:val="clear" w:color="000000" w:fill="FFC0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单位</w:t>
            </w:r>
          </w:p>
        </w:tc>
        <w:tc>
          <w:tcPr>
            <w:tcW w:w="1180" w:type="dxa"/>
            <w:gridSpan w:val="2"/>
            <w:tcBorders>
              <w:top w:val="single" w:color="auto" w:sz="4" w:space="0"/>
              <w:left w:val="nil"/>
              <w:bottom w:val="single" w:color="auto" w:sz="4" w:space="0"/>
              <w:right w:val="single" w:color="auto" w:sz="4" w:space="0"/>
            </w:tcBorders>
            <w:shd w:val="clear" w:color="000000" w:fill="FFC0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数量</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8820" w:type="dxa"/>
            <w:gridSpan w:val="9"/>
            <w:tcBorders>
              <w:top w:val="single" w:color="auto" w:sz="4" w:space="0"/>
              <w:left w:val="single" w:color="auto" w:sz="4" w:space="0"/>
              <w:bottom w:val="single" w:color="auto" w:sz="4" w:space="0"/>
              <w:right w:val="nil"/>
            </w:tcBorders>
            <w:shd w:val="clear" w:color="000000" w:fill="FFCC00"/>
            <w:vAlign w:val="center"/>
          </w:tcPr>
          <w:p>
            <w:pPr>
              <w:widowControl/>
              <w:jc w:val="left"/>
              <w:rPr>
                <w:rFonts w:ascii="宋体" w:hAnsi="宋体" w:cs="宋体"/>
                <w:b/>
                <w:bCs/>
                <w:kern w:val="0"/>
                <w:sz w:val="20"/>
                <w:szCs w:val="20"/>
              </w:rPr>
            </w:pPr>
            <w:r>
              <w:rPr>
                <w:rFonts w:hint="eastAsia" w:ascii="宋体" w:hAnsi="宋体" w:cs="宋体"/>
                <w:b/>
                <w:bCs/>
                <w:kern w:val="0"/>
                <w:sz w:val="20"/>
                <w:szCs w:val="20"/>
              </w:rPr>
              <w:t>一、围网部分</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8820" w:type="dxa"/>
            <w:gridSpan w:val="9"/>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left"/>
              <w:rPr>
                <w:rFonts w:ascii="宋体" w:hAnsi="宋体" w:cs="宋体"/>
                <w:b/>
                <w:bCs/>
                <w:kern w:val="0"/>
                <w:sz w:val="20"/>
                <w:szCs w:val="20"/>
              </w:rPr>
            </w:pPr>
            <w:r>
              <w:rPr>
                <w:rFonts w:hint="eastAsia" w:ascii="宋体" w:hAnsi="宋体" w:cs="宋体"/>
                <w:b/>
                <w:bCs/>
                <w:kern w:val="0"/>
                <w:sz w:val="20"/>
                <w:szCs w:val="20"/>
              </w:rPr>
              <w:t>1、围网视频监控</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2380" w:type="dxa"/>
            <w:gridSpan w:val="3"/>
            <w:tcBorders>
              <w:top w:val="nil"/>
              <w:left w:val="nil"/>
              <w:bottom w:val="single" w:color="auto" w:sz="4" w:space="0"/>
              <w:right w:val="single" w:color="auto" w:sz="4" w:space="0"/>
            </w:tcBorders>
            <w:shd w:val="clear" w:color="auto" w:fill="auto"/>
            <w:vAlign w:val="bottom"/>
          </w:tcPr>
          <w:p>
            <w:pPr>
              <w:widowControl/>
              <w:jc w:val="left"/>
              <w:rPr>
                <w:rFonts w:ascii="宋体" w:hAnsi="宋体" w:cs="宋体"/>
                <w:kern w:val="0"/>
                <w:sz w:val="20"/>
                <w:szCs w:val="20"/>
              </w:rPr>
            </w:pPr>
            <w:r>
              <w:rPr>
                <w:rFonts w:hint="eastAsia" w:ascii="宋体" w:hAnsi="宋体" w:cs="宋体"/>
                <w:kern w:val="0"/>
                <w:sz w:val="20"/>
                <w:szCs w:val="20"/>
              </w:rPr>
              <w:t>200万红外网络摄像机</w:t>
            </w:r>
          </w:p>
        </w:tc>
        <w:tc>
          <w:tcPr>
            <w:tcW w:w="3760" w:type="dxa"/>
            <w:tcBorders>
              <w:top w:val="nil"/>
              <w:left w:val="nil"/>
              <w:bottom w:val="single" w:color="auto" w:sz="4" w:space="0"/>
              <w:right w:val="single" w:color="auto" w:sz="4" w:space="0"/>
            </w:tcBorders>
            <w:shd w:val="clear" w:color="auto" w:fill="auto"/>
            <w:vAlign w:val="bottom"/>
          </w:tcPr>
          <w:p>
            <w:pPr>
              <w:widowControl/>
              <w:jc w:val="left"/>
              <w:rPr>
                <w:rFonts w:ascii="宋体" w:hAnsi="宋体" w:cs="宋体"/>
                <w:kern w:val="0"/>
                <w:sz w:val="20"/>
                <w:szCs w:val="20"/>
              </w:rPr>
            </w:pPr>
            <w:r>
              <w:rPr>
                <w:rFonts w:hint="eastAsia" w:ascii="宋体" w:hAnsi="宋体" w:cs="宋体"/>
                <w:kern w:val="0"/>
                <w:sz w:val="20"/>
                <w:szCs w:val="20"/>
              </w:rPr>
              <w:t>200W 50米红外</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台 </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10</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2380" w:type="dxa"/>
            <w:gridSpan w:val="3"/>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200万红外网络球机</w:t>
            </w:r>
          </w:p>
        </w:tc>
        <w:tc>
          <w:tcPr>
            <w:tcW w:w="376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200万网络红外高清智能球机</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台 </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2380"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枪机支架</w:t>
            </w:r>
          </w:p>
        </w:tc>
        <w:tc>
          <w:tcPr>
            <w:tcW w:w="3760"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ascii="宋体" w:hAnsi="宋体" w:cs="宋体"/>
                <w:kern w:val="0"/>
                <w:sz w:val="20"/>
                <w:szCs w:val="20"/>
              </w:rPr>
            </w:pPr>
          </w:p>
        </w:tc>
        <w:tc>
          <w:tcPr>
            <w:tcW w:w="900" w:type="dxa"/>
            <w:gridSpan w:val="2"/>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80" w:type="dxa"/>
            <w:gridSpan w:val="2"/>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10</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c>
          <w:tcPr>
            <w:tcW w:w="2380" w:type="dxa"/>
            <w:gridSpan w:val="3"/>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球机支架</w:t>
            </w:r>
          </w:p>
        </w:tc>
        <w:tc>
          <w:tcPr>
            <w:tcW w:w="3760" w:type="dxa"/>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kern w:val="0"/>
                <w:sz w:val="20"/>
                <w:szCs w:val="20"/>
              </w:rPr>
            </w:pPr>
          </w:p>
        </w:tc>
        <w:tc>
          <w:tcPr>
            <w:tcW w:w="900" w:type="dxa"/>
            <w:gridSpan w:val="2"/>
            <w:tcBorders>
              <w:top w:val="single" w:color="auto" w:sz="4" w:space="0"/>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80" w:type="dxa"/>
            <w:gridSpan w:val="2"/>
            <w:tcBorders>
              <w:top w:val="single" w:color="auto" w:sz="4" w:space="0"/>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室外防水箱</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　</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10</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插座</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闭合空开</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16</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7</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球机防水电源</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 xml:space="preserve">AC 24V/3A </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个 </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8</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红外枪机电源</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 xml:space="preserve">DC 12V/3A </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个 </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10</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9</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视频监控防雷器</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 xml:space="preserve">二合一（网口、电源） </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个 </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16</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10</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视频光端机</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FC接口，1光口转4电口1000兆，含485接口</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台 </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12</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6芯光缆</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　</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米</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600</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14</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光钎接续包</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　</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15</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尾纤</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FC,3米</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根</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24</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16</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光纤跳线</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1.5米单模，FC</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条</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17</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光钎熔接</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　</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条</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140</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18</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6类双脚线</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非屏蔽双绞线</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箱</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19</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电源线</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2*2</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米</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900</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21</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光钎盒子</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含耦合器</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台 </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8820" w:type="dxa"/>
            <w:gridSpan w:val="9"/>
            <w:tcBorders>
              <w:top w:val="single" w:color="auto" w:sz="4" w:space="0"/>
              <w:left w:val="single" w:color="auto" w:sz="4" w:space="0"/>
              <w:bottom w:val="single" w:color="auto" w:sz="4" w:space="0"/>
              <w:right w:val="single" w:color="000000" w:sz="4" w:space="0"/>
            </w:tcBorders>
            <w:shd w:val="clear" w:color="000000" w:fill="FFCC00"/>
            <w:vAlign w:val="center"/>
          </w:tcPr>
          <w:p>
            <w:pPr>
              <w:widowControl/>
              <w:jc w:val="left"/>
              <w:rPr>
                <w:rFonts w:ascii="宋体" w:hAnsi="宋体" w:cs="宋体"/>
                <w:b/>
                <w:bCs/>
                <w:kern w:val="0"/>
                <w:sz w:val="20"/>
                <w:szCs w:val="20"/>
              </w:rPr>
            </w:pPr>
            <w:r>
              <w:rPr>
                <w:rFonts w:hint="eastAsia" w:ascii="宋体" w:hAnsi="宋体" w:cs="宋体"/>
                <w:b/>
                <w:bCs/>
                <w:kern w:val="0"/>
                <w:sz w:val="20"/>
                <w:szCs w:val="20"/>
              </w:rPr>
              <w:t>二、保税仓库视频监控</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C000"/>
            <w:vAlign w:val="bottom"/>
          </w:tcPr>
          <w:p>
            <w:pPr>
              <w:widowControl/>
              <w:jc w:val="left"/>
              <w:rPr>
                <w:rFonts w:ascii="宋体" w:hAnsi="宋体" w:cs="宋体"/>
                <w:kern w:val="0"/>
                <w:sz w:val="20"/>
                <w:szCs w:val="20"/>
              </w:rPr>
            </w:pPr>
            <w:r>
              <w:rPr>
                <w:rFonts w:hint="eastAsia" w:ascii="宋体" w:hAnsi="宋体" w:cs="宋体"/>
                <w:kern w:val="0"/>
                <w:sz w:val="20"/>
                <w:szCs w:val="20"/>
              </w:rPr>
              <w:t>序号</w:t>
            </w:r>
          </w:p>
        </w:tc>
        <w:tc>
          <w:tcPr>
            <w:tcW w:w="2380" w:type="dxa"/>
            <w:gridSpan w:val="3"/>
            <w:tcBorders>
              <w:top w:val="nil"/>
              <w:left w:val="nil"/>
              <w:bottom w:val="single" w:color="auto" w:sz="4" w:space="0"/>
              <w:right w:val="single" w:color="auto" w:sz="4" w:space="0"/>
            </w:tcBorders>
            <w:shd w:val="clear" w:color="000000" w:fill="FFC000"/>
            <w:vAlign w:val="bottom"/>
          </w:tcPr>
          <w:p>
            <w:pPr>
              <w:widowControl/>
              <w:jc w:val="left"/>
              <w:rPr>
                <w:rFonts w:ascii="宋体" w:hAnsi="宋体" w:cs="宋体"/>
                <w:b/>
                <w:bCs/>
                <w:kern w:val="0"/>
                <w:sz w:val="20"/>
                <w:szCs w:val="20"/>
              </w:rPr>
            </w:pPr>
            <w:r>
              <w:rPr>
                <w:rFonts w:hint="eastAsia" w:ascii="宋体" w:hAnsi="宋体" w:cs="宋体"/>
                <w:b/>
                <w:bCs/>
                <w:kern w:val="0"/>
                <w:sz w:val="20"/>
                <w:szCs w:val="20"/>
              </w:rPr>
              <w:t>设备名称</w:t>
            </w:r>
          </w:p>
        </w:tc>
        <w:tc>
          <w:tcPr>
            <w:tcW w:w="3760" w:type="dxa"/>
            <w:tcBorders>
              <w:top w:val="nil"/>
              <w:left w:val="nil"/>
              <w:bottom w:val="single" w:color="auto" w:sz="4" w:space="0"/>
              <w:right w:val="single" w:color="auto" w:sz="4" w:space="0"/>
            </w:tcBorders>
            <w:shd w:val="clear" w:color="000000" w:fill="FFC000"/>
            <w:vAlign w:val="bottom"/>
          </w:tcPr>
          <w:p>
            <w:pPr>
              <w:widowControl/>
              <w:jc w:val="left"/>
              <w:rPr>
                <w:rFonts w:ascii="宋体" w:hAnsi="宋体" w:cs="宋体"/>
                <w:b/>
                <w:bCs/>
                <w:kern w:val="0"/>
                <w:sz w:val="20"/>
                <w:szCs w:val="20"/>
              </w:rPr>
            </w:pPr>
            <w:r>
              <w:rPr>
                <w:rFonts w:hint="eastAsia" w:ascii="宋体" w:hAnsi="宋体" w:cs="宋体"/>
                <w:b/>
                <w:bCs/>
                <w:kern w:val="0"/>
                <w:sz w:val="20"/>
                <w:szCs w:val="20"/>
              </w:rPr>
              <w:t>数量</w:t>
            </w:r>
          </w:p>
        </w:tc>
        <w:tc>
          <w:tcPr>
            <w:tcW w:w="900" w:type="dxa"/>
            <w:gridSpan w:val="2"/>
            <w:tcBorders>
              <w:top w:val="nil"/>
              <w:left w:val="nil"/>
              <w:bottom w:val="single" w:color="auto" w:sz="4" w:space="0"/>
              <w:right w:val="single" w:color="auto" w:sz="4" w:space="0"/>
            </w:tcBorders>
            <w:shd w:val="clear" w:color="000000" w:fill="FFC000"/>
            <w:vAlign w:val="bottom"/>
          </w:tcPr>
          <w:p>
            <w:pPr>
              <w:widowControl/>
              <w:jc w:val="center"/>
              <w:rPr>
                <w:rFonts w:ascii="宋体" w:hAnsi="宋体" w:cs="宋体"/>
                <w:b/>
                <w:bCs/>
                <w:kern w:val="0"/>
                <w:sz w:val="20"/>
                <w:szCs w:val="20"/>
              </w:rPr>
            </w:pPr>
            <w:r>
              <w:rPr>
                <w:rFonts w:hint="eastAsia" w:ascii="宋体" w:hAnsi="宋体" w:cs="宋体"/>
                <w:b/>
                <w:bCs/>
                <w:kern w:val="0"/>
                <w:sz w:val="20"/>
                <w:szCs w:val="20"/>
              </w:rPr>
              <w:t>单位</w:t>
            </w:r>
          </w:p>
        </w:tc>
        <w:tc>
          <w:tcPr>
            <w:tcW w:w="1180" w:type="dxa"/>
            <w:gridSpan w:val="2"/>
            <w:tcBorders>
              <w:top w:val="nil"/>
              <w:left w:val="nil"/>
              <w:bottom w:val="single" w:color="auto" w:sz="4" w:space="0"/>
              <w:right w:val="single" w:color="auto" w:sz="4" w:space="0"/>
            </w:tcBorders>
            <w:shd w:val="clear" w:color="000000" w:fill="FFC0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数量</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2380" w:type="dxa"/>
            <w:gridSpan w:val="3"/>
            <w:tcBorders>
              <w:top w:val="nil"/>
              <w:left w:val="nil"/>
              <w:bottom w:val="single" w:color="auto" w:sz="4" w:space="0"/>
              <w:right w:val="single" w:color="auto" w:sz="4" w:space="0"/>
            </w:tcBorders>
            <w:shd w:val="clear" w:color="auto" w:fill="auto"/>
            <w:vAlign w:val="bottom"/>
          </w:tcPr>
          <w:p>
            <w:pPr>
              <w:widowControl/>
              <w:jc w:val="left"/>
              <w:rPr>
                <w:rFonts w:ascii="宋体" w:hAnsi="宋体" w:cs="宋体"/>
                <w:kern w:val="0"/>
                <w:sz w:val="20"/>
                <w:szCs w:val="20"/>
              </w:rPr>
            </w:pPr>
            <w:r>
              <w:rPr>
                <w:rFonts w:hint="eastAsia" w:ascii="宋体" w:hAnsi="宋体" w:cs="宋体"/>
                <w:kern w:val="0"/>
                <w:sz w:val="20"/>
                <w:szCs w:val="20"/>
              </w:rPr>
              <w:t>200万红外网络摄像机</w:t>
            </w:r>
          </w:p>
        </w:tc>
        <w:tc>
          <w:tcPr>
            <w:tcW w:w="3760" w:type="dxa"/>
            <w:tcBorders>
              <w:top w:val="nil"/>
              <w:left w:val="nil"/>
              <w:bottom w:val="single" w:color="auto" w:sz="4" w:space="0"/>
              <w:right w:val="single" w:color="auto" w:sz="4" w:space="0"/>
            </w:tcBorders>
            <w:shd w:val="clear" w:color="auto" w:fill="auto"/>
            <w:vAlign w:val="bottom"/>
          </w:tcPr>
          <w:p>
            <w:pPr>
              <w:widowControl/>
              <w:jc w:val="left"/>
              <w:rPr>
                <w:rFonts w:ascii="宋体" w:hAnsi="宋体" w:cs="宋体"/>
                <w:kern w:val="0"/>
                <w:sz w:val="20"/>
                <w:szCs w:val="20"/>
              </w:rPr>
            </w:pPr>
            <w:r>
              <w:rPr>
                <w:rFonts w:hint="eastAsia" w:ascii="宋体" w:hAnsi="宋体" w:cs="宋体"/>
                <w:kern w:val="0"/>
                <w:sz w:val="20"/>
                <w:szCs w:val="20"/>
              </w:rPr>
              <w:t>200W50米红外</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台 </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36</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2380" w:type="dxa"/>
            <w:gridSpan w:val="3"/>
            <w:tcBorders>
              <w:top w:val="nil"/>
              <w:left w:val="nil"/>
              <w:bottom w:val="single" w:color="auto" w:sz="4" w:space="0"/>
              <w:right w:val="single" w:color="auto" w:sz="4" w:space="0"/>
            </w:tcBorders>
            <w:shd w:val="clear" w:color="auto" w:fill="auto"/>
            <w:vAlign w:val="bottom"/>
          </w:tcPr>
          <w:p>
            <w:pPr>
              <w:widowControl/>
              <w:jc w:val="left"/>
              <w:rPr>
                <w:rFonts w:ascii="宋体" w:hAnsi="宋体" w:cs="宋体"/>
                <w:kern w:val="0"/>
                <w:sz w:val="20"/>
                <w:szCs w:val="20"/>
              </w:rPr>
            </w:pPr>
            <w:r>
              <w:rPr>
                <w:rFonts w:hint="eastAsia" w:ascii="宋体" w:hAnsi="宋体" w:cs="宋体"/>
                <w:kern w:val="0"/>
                <w:sz w:val="20"/>
                <w:szCs w:val="20"/>
              </w:rPr>
              <w:t>200万红外网络球机</w:t>
            </w:r>
          </w:p>
        </w:tc>
        <w:tc>
          <w:tcPr>
            <w:tcW w:w="3760" w:type="dxa"/>
            <w:tcBorders>
              <w:top w:val="nil"/>
              <w:left w:val="nil"/>
              <w:bottom w:val="single" w:color="auto" w:sz="4" w:space="0"/>
              <w:right w:val="single" w:color="auto" w:sz="4" w:space="0"/>
            </w:tcBorders>
            <w:shd w:val="clear" w:color="auto" w:fill="auto"/>
            <w:vAlign w:val="bottom"/>
          </w:tcPr>
          <w:p>
            <w:pPr>
              <w:widowControl/>
              <w:jc w:val="left"/>
              <w:rPr>
                <w:rFonts w:ascii="宋体" w:hAnsi="宋体" w:cs="宋体"/>
                <w:kern w:val="0"/>
                <w:sz w:val="20"/>
                <w:szCs w:val="20"/>
              </w:rPr>
            </w:pPr>
            <w:r>
              <w:rPr>
                <w:rFonts w:hint="eastAsia" w:ascii="宋体" w:hAnsi="宋体" w:cs="宋体"/>
                <w:kern w:val="0"/>
                <w:sz w:val="20"/>
                <w:szCs w:val="20"/>
              </w:rPr>
              <w:t>200万网络红外高清智能球机</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台 </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10</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2380" w:type="dxa"/>
            <w:gridSpan w:val="3"/>
            <w:tcBorders>
              <w:top w:val="nil"/>
              <w:left w:val="nil"/>
              <w:bottom w:val="single" w:color="auto" w:sz="4" w:space="0"/>
              <w:right w:val="single" w:color="auto" w:sz="4" w:space="0"/>
            </w:tcBorders>
            <w:shd w:val="clear" w:color="auto" w:fill="auto"/>
            <w:vAlign w:val="bottom"/>
          </w:tcPr>
          <w:p>
            <w:pPr>
              <w:widowControl/>
              <w:jc w:val="left"/>
              <w:rPr>
                <w:rFonts w:ascii="宋体" w:hAnsi="宋体" w:cs="宋体"/>
                <w:kern w:val="0"/>
                <w:sz w:val="20"/>
                <w:szCs w:val="20"/>
              </w:rPr>
            </w:pPr>
            <w:r>
              <w:rPr>
                <w:rFonts w:hint="eastAsia" w:ascii="宋体" w:hAnsi="宋体" w:cs="宋体"/>
                <w:kern w:val="0"/>
                <w:sz w:val="20"/>
                <w:szCs w:val="20"/>
              </w:rPr>
              <w:t>枪机支架</w:t>
            </w:r>
          </w:p>
        </w:tc>
        <w:tc>
          <w:tcPr>
            <w:tcW w:w="3760" w:type="dxa"/>
            <w:tcBorders>
              <w:top w:val="nil"/>
              <w:left w:val="nil"/>
              <w:bottom w:val="single" w:color="auto" w:sz="4" w:space="0"/>
              <w:right w:val="single" w:color="auto" w:sz="4" w:space="0"/>
            </w:tcBorders>
            <w:shd w:val="clear" w:color="auto" w:fill="auto"/>
            <w:vAlign w:val="bottom"/>
          </w:tcPr>
          <w:p>
            <w:pPr>
              <w:widowControl/>
              <w:jc w:val="left"/>
              <w:rPr>
                <w:rFonts w:ascii="宋体" w:hAnsi="宋体" w:cs="宋体"/>
                <w:kern w:val="0"/>
                <w:sz w:val="20"/>
                <w:szCs w:val="20"/>
              </w:rPr>
            </w:pP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36</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c>
          <w:tcPr>
            <w:tcW w:w="2380" w:type="dxa"/>
            <w:gridSpan w:val="3"/>
            <w:tcBorders>
              <w:top w:val="nil"/>
              <w:left w:val="nil"/>
              <w:bottom w:val="single" w:color="auto" w:sz="4" w:space="0"/>
              <w:right w:val="single" w:color="auto" w:sz="4" w:space="0"/>
            </w:tcBorders>
            <w:shd w:val="clear" w:color="auto" w:fill="auto"/>
            <w:vAlign w:val="bottom"/>
          </w:tcPr>
          <w:p>
            <w:pPr>
              <w:widowControl/>
              <w:jc w:val="left"/>
              <w:rPr>
                <w:rFonts w:ascii="宋体" w:hAnsi="宋体" w:cs="宋体"/>
                <w:kern w:val="0"/>
                <w:sz w:val="20"/>
                <w:szCs w:val="20"/>
              </w:rPr>
            </w:pPr>
            <w:r>
              <w:rPr>
                <w:rFonts w:hint="eastAsia" w:ascii="宋体" w:hAnsi="宋体" w:cs="宋体"/>
                <w:kern w:val="0"/>
                <w:sz w:val="20"/>
                <w:szCs w:val="20"/>
              </w:rPr>
              <w:t>球机支架</w:t>
            </w:r>
          </w:p>
        </w:tc>
        <w:tc>
          <w:tcPr>
            <w:tcW w:w="3760" w:type="dxa"/>
            <w:tcBorders>
              <w:top w:val="nil"/>
              <w:left w:val="nil"/>
              <w:bottom w:val="single" w:color="auto" w:sz="4" w:space="0"/>
              <w:right w:val="single" w:color="auto" w:sz="4" w:space="0"/>
            </w:tcBorders>
            <w:shd w:val="clear" w:color="auto" w:fill="auto"/>
            <w:vAlign w:val="bottom"/>
          </w:tcPr>
          <w:p>
            <w:pPr>
              <w:widowControl/>
              <w:jc w:val="left"/>
              <w:rPr>
                <w:rFonts w:ascii="宋体" w:hAnsi="宋体" w:cs="宋体"/>
                <w:kern w:val="0"/>
                <w:sz w:val="20"/>
                <w:szCs w:val="20"/>
              </w:rPr>
            </w:pP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10</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插座</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46</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插排</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8口</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红外球机电源</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 xml:space="preserve">AC 24V/3A </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个 </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10</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7</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红外枪机电源</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 xml:space="preserve">DC 12V/3A </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个 </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36</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8</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视频监控防雷器</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 xml:space="preserve">二合一（网口、电源） </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个 </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46</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9</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视频光端机</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FC接口，1光口转8电口100兆，含485接口</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台 </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12</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6芯光缆</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　</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米</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400</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12</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光钎接续包</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室外防水</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13</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尾纤</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FC,3米</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根</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12</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14</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光纤跳线</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3米单模，FC</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条</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15</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光钎熔接</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　</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条</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42</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16</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6类双脚线</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非屏蔽双绞线</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箱</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17</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电源线</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2*1.5</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米</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1000</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18</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线槽</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200*100</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米</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1000</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19</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机柜</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墙壁式</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20</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光钎盒子</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含耦合器</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台 </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8820" w:type="dxa"/>
            <w:gridSpan w:val="9"/>
            <w:tcBorders>
              <w:top w:val="single" w:color="auto" w:sz="4" w:space="0"/>
              <w:left w:val="single" w:color="auto" w:sz="4" w:space="0"/>
              <w:bottom w:val="single" w:color="auto" w:sz="4" w:space="0"/>
              <w:right w:val="nil"/>
            </w:tcBorders>
            <w:shd w:val="clear" w:color="000000" w:fill="FFC000"/>
            <w:vAlign w:val="center"/>
          </w:tcPr>
          <w:p>
            <w:pPr>
              <w:widowControl/>
              <w:jc w:val="left"/>
              <w:rPr>
                <w:rFonts w:ascii="宋体" w:hAnsi="宋体" w:cs="宋体"/>
                <w:b/>
                <w:bCs/>
                <w:kern w:val="0"/>
                <w:sz w:val="20"/>
                <w:szCs w:val="20"/>
              </w:rPr>
            </w:pPr>
            <w:r>
              <w:rPr>
                <w:rFonts w:hint="eastAsia" w:ascii="宋体" w:hAnsi="宋体" w:cs="宋体"/>
                <w:b/>
                <w:bCs/>
                <w:kern w:val="0"/>
                <w:sz w:val="20"/>
                <w:szCs w:val="20"/>
              </w:rPr>
              <w:t>三、办公楼视频监控</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C0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序号</w:t>
            </w:r>
          </w:p>
        </w:tc>
        <w:tc>
          <w:tcPr>
            <w:tcW w:w="2380" w:type="dxa"/>
            <w:gridSpan w:val="3"/>
            <w:tcBorders>
              <w:top w:val="nil"/>
              <w:left w:val="nil"/>
              <w:bottom w:val="single" w:color="auto" w:sz="4" w:space="0"/>
              <w:right w:val="single" w:color="auto" w:sz="4" w:space="0"/>
            </w:tcBorders>
            <w:shd w:val="clear" w:color="000000" w:fill="FFC0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设备名称</w:t>
            </w:r>
          </w:p>
        </w:tc>
        <w:tc>
          <w:tcPr>
            <w:tcW w:w="3760" w:type="dxa"/>
            <w:tcBorders>
              <w:top w:val="nil"/>
              <w:left w:val="nil"/>
              <w:bottom w:val="single" w:color="auto" w:sz="4" w:space="0"/>
              <w:right w:val="single" w:color="auto" w:sz="4" w:space="0"/>
            </w:tcBorders>
            <w:shd w:val="clear" w:color="000000" w:fill="FFC0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技术参数</w:t>
            </w:r>
          </w:p>
        </w:tc>
        <w:tc>
          <w:tcPr>
            <w:tcW w:w="900" w:type="dxa"/>
            <w:gridSpan w:val="2"/>
            <w:tcBorders>
              <w:top w:val="nil"/>
              <w:left w:val="nil"/>
              <w:bottom w:val="single" w:color="auto" w:sz="4" w:space="0"/>
              <w:right w:val="single" w:color="auto" w:sz="4" w:space="0"/>
            </w:tcBorders>
            <w:shd w:val="clear" w:color="000000" w:fill="FFC0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单位</w:t>
            </w:r>
          </w:p>
        </w:tc>
        <w:tc>
          <w:tcPr>
            <w:tcW w:w="1180" w:type="dxa"/>
            <w:gridSpan w:val="2"/>
            <w:tcBorders>
              <w:top w:val="nil"/>
              <w:left w:val="nil"/>
              <w:bottom w:val="single" w:color="auto" w:sz="4" w:space="0"/>
              <w:right w:val="single" w:color="auto" w:sz="4" w:space="0"/>
            </w:tcBorders>
            <w:shd w:val="clear" w:color="000000" w:fill="FFC0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数量</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c>
          <w:tcPr>
            <w:tcW w:w="2380" w:type="dxa"/>
            <w:gridSpan w:val="3"/>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200万红外网络球机</w:t>
            </w:r>
          </w:p>
        </w:tc>
        <w:tc>
          <w:tcPr>
            <w:tcW w:w="376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200万网络红外高清智能球机</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球机电源</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 xml:space="preserve">AC 24V/3A </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个 </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2380" w:type="dxa"/>
            <w:gridSpan w:val="3"/>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球机支架</w:t>
            </w:r>
          </w:p>
        </w:tc>
        <w:tc>
          <w:tcPr>
            <w:tcW w:w="376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0"/>
                <w:szCs w:val="20"/>
              </w:rPr>
            </w:pP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200万红外室内半球</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200万网络红外高清智能半球机</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18</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半球电源</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 xml:space="preserve">DC 12V/3A </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 个 </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18</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插座</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20</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7</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视频监控防雷器</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 xml:space="preserve">二合一（网口、电源） </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 xml:space="preserve">个 </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20</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13</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6类双脚线</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非屏蔽双绞线</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箱</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4</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14</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电源线</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2*1.5</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米</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200</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8820" w:type="dxa"/>
            <w:gridSpan w:val="9"/>
            <w:tcBorders>
              <w:top w:val="single" w:color="auto" w:sz="4" w:space="0"/>
              <w:left w:val="single" w:color="auto" w:sz="4" w:space="0"/>
              <w:bottom w:val="single" w:color="auto" w:sz="4" w:space="0"/>
              <w:right w:val="nil"/>
            </w:tcBorders>
            <w:shd w:val="clear" w:color="000000" w:fill="FFC000"/>
            <w:vAlign w:val="center"/>
          </w:tcPr>
          <w:p>
            <w:pPr>
              <w:widowControl/>
              <w:jc w:val="left"/>
              <w:rPr>
                <w:rFonts w:ascii="宋体" w:hAnsi="宋体" w:cs="宋体"/>
                <w:b/>
                <w:bCs/>
                <w:kern w:val="0"/>
                <w:sz w:val="20"/>
                <w:szCs w:val="20"/>
              </w:rPr>
            </w:pPr>
            <w:r>
              <w:rPr>
                <w:rFonts w:hint="eastAsia" w:ascii="宋体" w:hAnsi="宋体" w:cs="宋体"/>
                <w:b/>
                <w:bCs/>
                <w:kern w:val="0"/>
                <w:sz w:val="20"/>
                <w:szCs w:val="20"/>
              </w:rPr>
              <w:t>五、监控中心及机房部分</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C0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序号</w:t>
            </w:r>
          </w:p>
        </w:tc>
        <w:tc>
          <w:tcPr>
            <w:tcW w:w="2380" w:type="dxa"/>
            <w:gridSpan w:val="3"/>
            <w:tcBorders>
              <w:top w:val="nil"/>
              <w:left w:val="nil"/>
              <w:bottom w:val="single" w:color="auto" w:sz="4" w:space="0"/>
              <w:right w:val="single" w:color="auto" w:sz="4" w:space="0"/>
            </w:tcBorders>
            <w:shd w:val="clear" w:color="000000" w:fill="FFC0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设备名称</w:t>
            </w:r>
          </w:p>
        </w:tc>
        <w:tc>
          <w:tcPr>
            <w:tcW w:w="3760" w:type="dxa"/>
            <w:tcBorders>
              <w:top w:val="nil"/>
              <w:left w:val="nil"/>
              <w:bottom w:val="single" w:color="auto" w:sz="4" w:space="0"/>
              <w:right w:val="single" w:color="auto" w:sz="4" w:space="0"/>
            </w:tcBorders>
            <w:shd w:val="clear" w:color="000000" w:fill="FFC0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技术参数</w:t>
            </w:r>
          </w:p>
        </w:tc>
        <w:tc>
          <w:tcPr>
            <w:tcW w:w="900" w:type="dxa"/>
            <w:gridSpan w:val="2"/>
            <w:tcBorders>
              <w:top w:val="nil"/>
              <w:left w:val="nil"/>
              <w:bottom w:val="single" w:color="auto" w:sz="4" w:space="0"/>
              <w:right w:val="single" w:color="auto" w:sz="4" w:space="0"/>
            </w:tcBorders>
            <w:shd w:val="clear" w:color="000000" w:fill="FFC0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单位</w:t>
            </w:r>
          </w:p>
        </w:tc>
        <w:tc>
          <w:tcPr>
            <w:tcW w:w="1180" w:type="dxa"/>
            <w:gridSpan w:val="2"/>
            <w:tcBorders>
              <w:top w:val="nil"/>
              <w:left w:val="nil"/>
              <w:bottom w:val="single" w:color="auto" w:sz="4" w:space="0"/>
              <w:right w:val="single" w:color="auto" w:sz="4" w:space="0"/>
            </w:tcBorders>
            <w:shd w:val="clear" w:color="000000" w:fill="FFC0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数量</w:t>
            </w:r>
          </w:p>
        </w:tc>
      </w:tr>
      <w:tr>
        <w:tblPrEx>
          <w:tblLayout w:type="fixed"/>
          <w:tblCellMar>
            <w:top w:w="0" w:type="dxa"/>
            <w:left w:w="108" w:type="dxa"/>
            <w:bottom w:w="0" w:type="dxa"/>
            <w:right w:w="108" w:type="dxa"/>
          </w:tblCellMar>
        </w:tblPrEx>
        <w:trPr>
          <w:gridBefore w:val="1"/>
          <w:gridAfter w:val="1"/>
          <w:wBefore w:w="15" w:type="dxa"/>
          <w:wAfter w:w="795" w:type="dxa"/>
          <w:trHeight w:val="38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right"/>
              <w:rPr>
                <w:rFonts w:ascii="宋体" w:hAnsi="宋体" w:cs="宋体"/>
                <w:kern w:val="0"/>
                <w:sz w:val="20"/>
                <w:szCs w:val="20"/>
              </w:rPr>
            </w:pPr>
            <w:r>
              <w:rPr>
                <w:rFonts w:hint="eastAsia" w:ascii="宋体" w:hAnsi="宋体" w:cs="宋体"/>
                <w:kern w:val="0"/>
                <w:sz w:val="20"/>
                <w:szCs w:val="20"/>
              </w:rPr>
              <w:t>1</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磁盘阵列</w:t>
            </w:r>
          </w:p>
        </w:tc>
        <w:tc>
          <w:tcPr>
            <w:tcW w:w="3760" w:type="dxa"/>
            <w:tcBorders>
              <w:top w:val="nil"/>
              <w:left w:val="nil"/>
              <w:bottom w:val="single" w:color="auto" w:sz="4" w:space="0"/>
              <w:right w:val="single" w:color="auto" w:sz="4" w:space="0"/>
            </w:tcBorders>
            <w:shd w:val="clear" w:color="000000" w:fill="FFFFFF"/>
            <w:vAlign w:val="bottom"/>
          </w:tcPr>
          <w:p>
            <w:pPr>
              <w:widowControl/>
              <w:jc w:val="left"/>
              <w:rPr>
                <w:rFonts w:ascii="宋体" w:hAnsi="宋体" w:cs="宋体"/>
                <w:kern w:val="0"/>
                <w:sz w:val="20"/>
                <w:szCs w:val="20"/>
              </w:rPr>
            </w:pPr>
            <w:r>
              <w:rPr>
                <w:rFonts w:hint="eastAsia" w:ascii="宋体" w:hAnsi="宋体" w:cs="宋体"/>
                <w:kern w:val="0"/>
                <w:sz w:val="20"/>
                <w:szCs w:val="20"/>
              </w:rPr>
              <w:t>36盘位磁盘阵列；1024Mbps接入带宽,2个千兆网口（可扩展至10个千兆 或增配4个万兆以太网口）；</w:t>
            </w:r>
            <w:r>
              <w:rPr>
                <w:rFonts w:hint="eastAsia" w:ascii="宋体" w:hAnsi="宋体" w:cs="宋体"/>
                <w:kern w:val="0"/>
                <w:sz w:val="20"/>
                <w:szCs w:val="20"/>
              </w:rPr>
              <w:br w:type="textWrapping"/>
            </w:r>
            <w:r>
              <w:rPr>
                <w:rFonts w:hint="eastAsia" w:ascii="宋体" w:hAnsi="宋体" w:cs="宋体"/>
                <w:kern w:val="0"/>
                <w:sz w:val="20"/>
                <w:szCs w:val="20"/>
              </w:rPr>
              <w:t>流媒体模式：2Mbps视频可以同时支持256路接入，256路录像，256路转发；支持视频流和图片进行混合直写存储；支持SMART IPC接入，支持存储智能信息，实现智能事件检索功能，精确定位重点事件，并可通过平台进行智能浓缩播放，有效节省客户时间。4U机架式36盘位、冗余电源、支持SATA硬盘；支持外接SAS扩展柜；64位多核处理器、4GB（标配，可扩展至32G）；支持RAID 0、1、3、5、6、10、50，60、JBOD模式；网络协议：RTSP/ONVIF/PSIA/SIP（GB/T28181）/iSCSI/NFS/CIFS/FTP/HTTP/AFP</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right"/>
              <w:rPr>
                <w:rFonts w:ascii="宋体" w:hAnsi="宋体" w:cs="宋体"/>
                <w:kern w:val="0"/>
                <w:sz w:val="20"/>
                <w:szCs w:val="20"/>
              </w:rPr>
            </w:pPr>
            <w:r>
              <w:rPr>
                <w:rFonts w:hint="eastAsia" w:ascii="宋体" w:hAnsi="宋体" w:cs="宋体"/>
                <w:kern w:val="0"/>
                <w:sz w:val="20"/>
                <w:szCs w:val="20"/>
              </w:rPr>
              <w:t>2</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硬盘</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7200转企业级 3T</w:t>
            </w:r>
          </w:p>
        </w:tc>
        <w:tc>
          <w:tcPr>
            <w:tcW w:w="900" w:type="dxa"/>
            <w:gridSpan w:val="2"/>
            <w:tcBorders>
              <w:top w:val="nil"/>
              <w:left w:val="nil"/>
              <w:bottom w:val="single" w:color="auto" w:sz="4" w:space="0"/>
              <w:right w:val="single" w:color="auto" w:sz="4" w:space="0"/>
            </w:tcBorders>
            <w:shd w:val="clear" w:color="000000" w:fill="FFFFFF"/>
            <w:vAlign w:val="bottom"/>
          </w:tcPr>
          <w:p>
            <w:pPr>
              <w:widowControl/>
              <w:jc w:val="center"/>
              <w:rPr>
                <w:rFonts w:ascii="宋体" w:hAnsi="宋体" w:cs="宋体"/>
                <w:kern w:val="0"/>
                <w:sz w:val="20"/>
                <w:szCs w:val="20"/>
              </w:rPr>
            </w:pPr>
            <w:r>
              <w:rPr>
                <w:rFonts w:hint="eastAsia" w:ascii="宋体" w:hAnsi="宋体" w:cs="宋体"/>
                <w:kern w:val="0"/>
                <w:sz w:val="20"/>
                <w:szCs w:val="20"/>
              </w:rPr>
              <w:t>块</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72</w:t>
            </w:r>
          </w:p>
        </w:tc>
      </w:tr>
      <w:tr>
        <w:tblPrEx>
          <w:tblLayout w:type="fixed"/>
          <w:tblCellMar>
            <w:top w:w="0" w:type="dxa"/>
            <w:left w:w="108" w:type="dxa"/>
            <w:bottom w:w="0" w:type="dxa"/>
            <w:right w:w="108" w:type="dxa"/>
          </w:tblCellMar>
        </w:tblPrEx>
        <w:trPr>
          <w:gridBefore w:val="1"/>
          <w:gridAfter w:val="1"/>
          <w:wBefore w:w="15" w:type="dxa"/>
          <w:wAfter w:w="795" w:type="dxa"/>
          <w:trHeight w:val="48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right"/>
              <w:rPr>
                <w:rFonts w:ascii="宋体" w:hAnsi="宋体" w:cs="宋体"/>
                <w:kern w:val="0"/>
                <w:sz w:val="20"/>
                <w:szCs w:val="20"/>
              </w:rPr>
            </w:pPr>
            <w:r>
              <w:rPr>
                <w:rFonts w:hint="eastAsia" w:ascii="宋体" w:hAnsi="宋体" w:cs="宋体"/>
                <w:kern w:val="0"/>
                <w:sz w:val="20"/>
                <w:szCs w:val="20"/>
              </w:rPr>
              <w:t>3</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46寸低缝低亮拼接屏</w:t>
            </w:r>
          </w:p>
        </w:tc>
        <w:tc>
          <w:tcPr>
            <w:tcW w:w="3760" w:type="dxa"/>
            <w:tcBorders>
              <w:top w:val="nil"/>
              <w:left w:val="nil"/>
              <w:bottom w:val="single" w:color="auto" w:sz="4" w:space="0"/>
              <w:right w:val="single" w:color="auto" w:sz="4" w:space="0"/>
            </w:tcBorders>
            <w:shd w:val="clear" w:color="000000" w:fill="FFFFFF"/>
            <w:vAlign w:val="bottom"/>
          </w:tcPr>
          <w:p>
            <w:pPr>
              <w:widowControl/>
              <w:jc w:val="left"/>
              <w:rPr>
                <w:rFonts w:hint="eastAsia" w:ascii="宋体" w:hAnsi="宋体" w:cs="宋体"/>
                <w:kern w:val="0"/>
                <w:sz w:val="20"/>
                <w:szCs w:val="20"/>
              </w:rPr>
            </w:pPr>
            <w:r>
              <w:rPr>
                <w:rFonts w:hint="eastAsia" w:ascii="宋体" w:hAnsi="宋体" w:cs="宋体"/>
                <w:kern w:val="0"/>
                <w:sz w:val="20"/>
                <w:szCs w:val="20"/>
              </w:rPr>
              <w:t>尺寸:46英寸；背光源：LED背光（直下式）；亮度:500cd/㎡；对比度:4500:1；分辨率:1920×1080；</w:t>
            </w:r>
          </w:p>
          <w:p>
            <w:pPr>
              <w:widowControl/>
              <w:jc w:val="left"/>
              <w:rPr>
                <w:rFonts w:ascii="宋体" w:hAnsi="宋体" w:cs="宋体"/>
                <w:kern w:val="0"/>
                <w:sz w:val="20"/>
                <w:szCs w:val="20"/>
              </w:rPr>
            </w:pPr>
            <w:r>
              <w:rPr>
                <w:rFonts w:hint="eastAsia" w:ascii="宋体" w:hAnsi="宋体" w:cs="宋体"/>
                <w:kern w:val="0"/>
                <w:sz w:val="20"/>
                <w:szCs w:val="20"/>
              </w:rPr>
              <w:t>*物理拼缝:3.5mm</w:t>
            </w:r>
          </w:p>
        </w:tc>
        <w:tc>
          <w:tcPr>
            <w:tcW w:w="900" w:type="dxa"/>
            <w:gridSpan w:val="2"/>
            <w:tcBorders>
              <w:top w:val="nil"/>
              <w:left w:val="nil"/>
              <w:bottom w:val="single" w:color="auto" w:sz="4" w:space="0"/>
              <w:right w:val="single" w:color="auto" w:sz="4" w:space="0"/>
            </w:tcBorders>
            <w:shd w:val="clear" w:color="000000" w:fill="FFFFFF"/>
            <w:vAlign w:val="bottom"/>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9</w:t>
            </w:r>
          </w:p>
        </w:tc>
      </w:tr>
      <w:tr>
        <w:tblPrEx>
          <w:tblLayout w:type="fixed"/>
          <w:tblCellMar>
            <w:top w:w="0" w:type="dxa"/>
            <w:left w:w="108" w:type="dxa"/>
            <w:bottom w:w="0" w:type="dxa"/>
            <w:right w:w="108" w:type="dxa"/>
          </w:tblCellMar>
        </w:tblPrEx>
        <w:trPr>
          <w:gridBefore w:val="1"/>
          <w:gridAfter w:val="1"/>
          <w:wBefore w:w="15" w:type="dxa"/>
          <w:wAfter w:w="795" w:type="dxa"/>
          <w:trHeight w:val="48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right"/>
              <w:rPr>
                <w:rFonts w:ascii="宋体" w:hAnsi="宋体" w:cs="宋体"/>
                <w:kern w:val="0"/>
                <w:sz w:val="20"/>
                <w:szCs w:val="20"/>
              </w:rPr>
            </w:pPr>
            <w:r>
              <w:rPr>
                <w:rFonts w:hint="eastAsia" w:ascii="宋体" w:hAnsi="宋体" w:cs="宋体"/>
                <w:kern w:val="0"/>
                <w:sz w:val="20"/>
                <w:szCs w:val="20"/>
              </w:rPr>
              <w:t>4</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解码器</w:t>
            </w:r>
          </w:p>
        </w:tc>
        <w:tc>
          <w:tcPr>
            <w:tcW w:w="3760" w:type="dxa"/>
            <w:tcBorders>
              <w:top w:val="nil"/>
              <w:left w:val="nil"/>
              <w:bottom w:val="single" w:color="auto" w:sz="4" w:space="0"/>
              <w:right w:val="single" w:color="auto" w:sz="4" w:space="0"/>
            </w:tcBorders>
            <w:shd w:val="clear" w:color="000000" w:fill="FFFFFF"/>
            <w:vAlign w:val="bottom"/>
          </w:tcPr>
          <w:p>
            <w:pPr>
              <w:widowControl/>
              <w:jc w:val="left"/>
              <w:rPr>
                <w:rFonts w:ascii="宋体" w:hAnsi="宋体" w:cs="宋体"/>
                <w:kern w:val="0"/>
                <w:sz w:val="20"/>
                <w:szCs w:val="20"/>
              </w:rPr>
            </w:pPr>
            <w:r>
              <w:rPr>
                <w:rFonts w:hint="eastAsia" w:ascii="宋体" w:hAnsi="宋体" w:cs="宋体"/>
                <w:kern w:val="0"/>
                <w:sz w:val="20"/>
                <w:szCs w:val="20"/>
              </w:rPr>
              <w:t>16路DVI、8路辅助BNC独立输出，1路DVI+1路VGA输入接口，32路1080P/16路500W/8路800W解码能力</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right"/>
              <w:rPr>
                <w:rFonts w:ascii="宋体" w:hAnsi="宋体" w:cs="宋体"/>
                <w:kern w:val="0"/>
                <w:sz w:val="20"/>
                <w:szCs w:val="20"/>
              </w:rPr>
            </w:pPr>
            <w:r>
              <w:rPr>
                <w:rFonts w:hint="eastAsia" w:ascii="宋体" w:hAnsi="宋体" w:cs="宋体"/>
                <w:kern w:val="0"/>
                <w:sz w:val="20"/>
                <w:szCs w:val="20"/>
              </w:rPr>
              <w:t>5</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模块化基座</w:t>
            </w:r>
          </w:p>
        </w:tc>
        <w:tc>
          <w:tcPr>
            <w:tcW w:w="3760" w:type="dxa"/>
            <w:tcBorders>
              <w:top w:val="nil"/>
              <w:left w:val="nil"/>
              <w:bottom w:val="single" w:color="auto" w:sz="4" w:space="0"/>
              <w:right w:val="single" w:color="auto" w:sz="4" w:space="0"/>
            </w:tcBorders>
            <w:shd w:val="clear" w:color="000000" w:fill="FFFFFF"/>
            <w:vAlign w:val="bottom"/>
          </w:tcPr>
          <w:p>
            <w:pPr>
              <w:widowControl/>
              <w:jc w:val="left"/>
              <w:rPr>
                <w:rFonts w:ascii="宋体" w:hAnsi="宋体" w:cs="宋体"/>
                <w:kern w:val="0"/>
                <w:sz w:val="20"/>
                <w:szCs w:val="20"/>
              </w:rPr>
            </w:pPr>
            <w:r>
              <w:rPr>
                <w:rFonts w:hint="eastAsia" w:ascii="宋体" w:hAnsi="宋体" w:cs="宋体"/>
                <w:kern w:val="0"/>
                <w:sz w:val="20"/>
                <w:szCs w:val="20"/>
              </w:rPr>
              <w:t>满足现场业务需求；</w:t>
            </w:r>
          </w:p>
        </w:tc>
        <w:tc>
          <w:tcPr>
            <w:tcW w:w="900" w:type="dxa"/>
            <w:gridSpan w:val="2"/>
            <w:tcBorders>
              <w:top w:val="nil"/>
              <w:left w:val="nil"/>
              <w:bottom w:val="single" w:color="auto" w:sz="4" w:space="0"/>
              <w:right w:val="single" w:color="auto" w:sz="4" w:space="0"/>
            </w:tcBorders>
            <w:shd w:val="clear" w:color="000000" w:fill="FFFFFF"/>
            <w:vAlign w:val="bottom"/>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5</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right"/>
              <w:rPr>
                <w:rFonts w:ascii="宋体" w:hAnsi="宋体" w:cs="宋体"/>
                <w:kern w:val="0"/>
                <w:sz w:val="20"/>
                <w:szCs w:val="20"/>
              </w:rPr>
            </w:pPr>
            <w:r>
              <w:rPr>
                <w:rFonts w:hint="eastAsia" w:ascii="宋体" w:hAnsi="宋体" w:cs="宋体"/>
                <w:kern w:val="0"/>
                <w:sz w:val="20"/>
                <w:szCs w:val="20"/>
              </w:rPr>
              <w:t>6</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模块化框架</w:t>
            </w:r>
          </w:p>
        </w:tc>
        <w:tc>
          <w:tcPr>
            <w:tcW w:w="3760" w:type="dxa"/>
            <w:tcBorders>
              <w:top w:val="nil"/>
              <w:left w:val="nil"/>
              <w:bottom w:val="single" w:color="auto" w:sz="4" w:space="0"/>
              <w:right w:val="single" w:color="auto" w:sz="4" w:space="0"/>
            </w:tcBorders>
            <w:shd w:val="clear" w:color="000000" w:fill="FFFFFF"/>
            <w:vAlign w:val="bottom"/>
          </w:tcPr>
          <w:p>
            <w:pPr>
              <w:widowControl/>
              <w:jc w:val="left"/>
              <w:rPr>
                <w:rFonts w:ascii="宋体" w:hAnsi="宋体" w:cs="宋体"/>
                <w:kern w:val="0"/>
                <w:sz w:val="20"/>
                <w:szCs w:val="20"/>
              </w:rPr>
            </w:pPr>
            <w:r>
              <w:rPr>
                <w:rFonts w:hint="eastAsia" w:ascii="宋体" w:hAnsi="宋体" w:cs="宋体"/>
                <w:kern w:val="0"/>
                <w:sz w:val="20"/>
                <w:szCs w:val="20"/>
              </w:rPr>
              <w:t>满足现场业务需求；</w:t>
            </w:r>
          </w:p>
        </w:tc>
        <w:tc>
          <w:tcPr>
            <w:tcW w:w="900" w:type="dxa"/>
            <w:gridSpan w:val="2"/>
            <w:tcBorders>
              <w:top w:val="nil"/>
              <w:left w:val="nil"/>
              <w:bottom w:val="single" w:color="auto" w:sz="4" w:space="0"/>
              <w:right w:val="single" w:color="auto" w:sz="4" w:space="0"/>
            </w:tcBorders>
            <w:shd w:val="clear" w:color="000000" w:fill="FFFFFF"/>
            <w:vAlign w:val="bottom"/>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9</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right"/>
              <w:rPr>
                <w:rFonts w:ascii="宋体" w:hAnsi="宋体" w:cs="宋体"/>
                <w:kern w:val="0"/>
                <w:sz w:val="20"/>
                <w:szCs w:val="20"/>
              </w:rPr>
            </w:pPr>
            <w:r>
              <w:rPr>
                <w:rFonts w:hint="eastAsia" w:ascii="宋体" w:hAnsi="宋体" w:cs="宋体"/>
                <w:kern w:val="0"/>
                <w:sz w:val="20"/>
                <w:szCs w:val="20"/>
              </w:rPr>
              <w:t>7</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管理服务器</w:t>
            </w:r>
          </w:p>
        </w:tc>
        <w:tc>
          <w:tcPr>
            <w:tcW w:w="3760" w:type="dxa"/>
            <w:tcBorders>
              <w:top w:val="nil"/>
              <w:left w:val="nil"/>
              <w:bottom w:val="single" w:color="auto" w:sz="4" w:space="0"/>
              <w:right w:val="single" w:color="auto" w:sz="4" w:space="0"/>
            </w:tcBorders>
            <w:shd w:val="clear" w:color="000000" w:fill="FFFFFF"/>
            <w:vAlign w:val="bottom"/>
          </w:tcPr>
          <w:p>
            <w:pPr>
              <w:widowControl/>
              <w:jc w:val="left"/>
              <w:rPr>
                <w:rFonts w:ascii="宋体" w:hAnsi="宋体" w:cs="宋体"/>
                <w:kern w:val="0"/>
                <w:sz w:val="20"/>
                <w:szCs w:val="20"/>
              </w:rPr>
            </w:pPr>
            <w:r>
              <w:rPr>
                <w:rFonts w:hint="eastAsia" w:ascii="宋体" w:hAnsi="宋体" w:cs="宋体"/>
                <w:kern w:val="0"/>
                <w:sz w:val="20"/>
                <w:szCs w:val="20"/>
              </w:rPr>
              <w:t>满足现场业务需求；</w:t>
            </w:r>
          </w:p>
        </w:tc>
        <w:tc>
          <w:tcPr>
            <w:tcW w:w="900" w:type="dxa"/>
            <w:gridSpan w:val="2"/>
            <w:tcBorders>
              <w:top w:val="nil"/>
              <w:left w:val="nil"/>
              <w:bottom w:val="single" w:color="auto" w:sz="4" w:space="0"/>
              <w:right w:val="single" w:color="auto" w:sz="4" w:space="0"/>
            </w:tcBorders>
            <w:shd w:val="clear" w:color="000000" w:fill="FFFFFF"/>
            <w:vAlign w:val="bottom"/>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right"/>
              <w:rPr>
                <w:rFonts w:ascii="宋体" w:hAnsi="宋体" w:cs="宋体"/>
                <w:kern w:val="0"/>
                <w:sz w:val="20"/>
                <w:szCs w:val="20"/>
              </w:rPr>
            </w:pPr>
            <w:r>
              <w:rPr>
                <w:rFonts w:hint="eastAsia" w:ascii="宋体" w:hAnsi="宋体" w:cs="宋体"/>
                <w:kern w:val="0"/>
                <w:sz w:val="20"/>
                <w:szCs w:val="20"/>
              </w:rPr>
              <w:t>8</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流媒体服务器</w:t>
            </w:r>
          </w:p>
        </w:tc>
        <w:tc>
          <w:tcPr>
            <w:tcW w:w="3760" w:type="dxa"/>
            <w:tcBorders>
              <w:top w:val="nil"/>
              <w:left w:val="nil"/>
              <w:bottom w:val="single" w:color="auto" w:sz="4" w:space="0"/>
              <w:right w:val="single" w:color="auto" w:sz="4" w:space="0"/>
            </w:tcBorders>
            <w:shd w:val="clear" w:color="000000" w:fill="FFFFFF"/>
            <w:vAlign w:val="bottom"/>
          </w:tcPr>
          <w:p>
            <w:pPr>
              <w:widowControl/>
              <w:jc w:val="left"/>
              <w:rPr>
                <w:rFonts w:ascii="宋体" w:hAnsi="宋体" w:cs="宋体"/>
                <w:kern w:val="0"/>
                <w:sz w:val="20"/>
                <w:szCs w:val="20"/>
              </w:rPr>
            </w:pPr>
            <w:r>
              <w:rPr>
                <w:rFonts w:hint="eastAsia" w:ascii="宋体" w:hAnsi="宋体" w:cs="宋体"/>
                <w:kern w:val="0"/>
                <w:sz w:val="20"/>
                <w:szCs w:val="20"/>
              </w:rPr>
              <w:t>满足现场业务需求；</w:t>
            </w:r>
          </w:p>
        </w:tc>
        <w:tc>
          <w:tcPr>
            <w:tcW w:w="900" w:type="dxa"/>
            <w:gridSpan w:val="2"/>
            <w:tcBorders>
              <w:top w:val="nil"/>
              <w:left w:val="nil"/>
              <w:bottom w:val="single" w:color="auto" w:sz="4" w:space="0"/>
              <w:right w:val="single" w:color="auto" w:sz="4" w:space="0"/>
            </w:tcBorders>
            <w:shd w:val="clear" w:color="000000" w:fill="FFFFFF"/>
            <w:vAlign w:val="bottom"/>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right"/>
              <w:rPr>
                <w:rFonts w:ascii="宋体" w:hAnsi="宋体" w:cs="宋体"/>
                <w:kern w:val="0"/>
                <w:sz w:val="20"/>
                <w:szCs w:val="20"/>
              </w:rPr>
            </w:pPr>
            <w:r>
              <w:rPr>
                <w:rFonts w:hint="eastAsia" w:ascii="宋体" w:hAnsi="宋体" w:cs="宋体"/>
                <w:kern w:val="0"/>
                <w:sz w:val="20"/>
                <w:szCs w:val="20"/>
              </w:rPr>
              <w:t>9</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中心管理软件</w:t>
            </w:r>
          </w:p>
        </w:tc>
        <w:tc>
          <w:tcPr>
            <w:tcW w:w="3760" w:type="dxa"/>
            <w:tcBorders>
              <w:top w:val="nil"/>
              <w:left w:val="nil"/>
              <w:bottom w:val="single" w:color="auto" w:sz="4" w:space="0"/>
              <w:right w:val="single" w:color="auto" w:sz="4" w:space="0"/>
            </w:tcBorders>
            <w:shd w:val="clear" w:color="000000" w:fill="FFFFFF"/>
            <w:vAlign w:val="bottom"/>
          </w:tcPr>
          <w:p>
            <w:pPr>
              <w:widowControl/>
              <w:jc w:val="left"/>
              <w:rPr>
                <w:rFonts w:ascii="宋体" w:hAnsi="宋体" w:cs="宋体"/>
                <w:kern w:val="0"/>
                <w:sz w:val="20"/>
                <w:szCs w:val="20"/>
              </w:rPr>
            </w:pPr>
            <w:r>
              <w:rPr>
                <w:rFonts w:hint="eastAsia" w:ascii="宋体" w:hAnsi="宋体" w:cs="宋体"/>
                <w:kern w:val="0"/>
                <w:sz w:val="20"/>
                <w:szCs w:val="20"/>
              </w:rPr>
              <w:t>满足现场业务需求；</w:t>
            </w:r>
          </w:p>
        </w:tc>
        <w:tc>
          <w:tcPr>
            <w:tcW w:w="900" w:type="dxa"/>
            <w:gridSpan w:val="2"/>
            <w:tcBorders>
              <w:top w:val="nil"/>
              <w:left w:val="nil"/>
              <w:bottom w:val="single" w:color="auto" w:sz="4" w:space="0"/>
              <w:right w:val="single" w:color="auto" w:sz="4" w:space="0"/>
            </w:tcBorders>
            <w:shd w:val="clear" w:color="000000" w:fill="FFFFFF"/>
            <w:vAlign w:val="bottom"/>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0" w:type="dxa"/>
            <w:left w:w="108" w:type="dxa"/>
            <w:bottom w:w="0" w:type="dxa"/>
            <w:right w:w="108" w:type="dxa"/>
          </w:tblCellMar>
        </w:tblPrEx>
        <w:trPr>
          <w:gridBefore w:val="1"/>
          <w:gridAfter w:val="1"/>
          <w:wBefore w:w="15" w:type="dxa"/>
          <w:wAfter w:w="795" w:type="dxa"/>
          <w:trHeight w:val="960" w:hRule="atLeast"/>
        </w:trPr>
        <w:tc>
          <w:tcPr>
            <w:tcW w:w="600"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right"/>
              <w:rPr>
                <w:rFonts w:ascii="宋体" w:hAnsi="宋体" w:cs="宋体"/>
                <w:kern w:val="0"/>
                <w:sz w:val="20"/>
                <w:szCs w:val="20"/>
              </w:rPr>
            </w:pPr>
            <w:r>
              <w:rPr>
                <w:rFonts w:hint="eastAsia" w:ascii="宋体" w:hAnsi="宋体" w:cs="宋体"/>
                <w:kern w:val="0"/>
                <w:sz w:val="20"/>
                <w:szCs w:val="20"/>
              </w:rPr>
              <w:t>11</w:t>
            </w:r>
          </w:p>
        </w:tc>
        <w:tc>
          <w:tcPr>
            <w:tcW w:w="2380" w:type="dxa"/>
            <w:gridSpan w:val="3"/>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核心交换机</w:t>
            </w:r>
          </w:p>
        </w:tc>
        <w:tc>
          <w:tcPr>
            <w:tcW w:w="3760"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置冗余交流电源，千兆以太网电接口24个，万兆以太网光接口4个，配置原厂商光模块：1个千兆多模光模块和1个单模模块。</w:t>
            </w:r>
          </w:p>
        </w:tc>
        <w:tc>
          <w:tcPr>
            <w:tcW w:w="900" w:type="dxa"/>
            <w:gridSpan w:val="2"/>
            <w:tcBorders>
              <w:top w:val="single" w:color="auto" w:sz="4" w:space="0"/>
              <w:left w:val="single" w:color="auto" w:sz="4" w:space="0"/>
              <w:bottom w:val="single" w:color="auto" w:sz="4" w:space="0"/>
              <w:right w:val="single" w:color="auto" w:sz="4" w:space="0"/>
            </w:tcBorders>
            <w:shd w:val="clear" w:color="000000" w:fill="FFFFFF"/>
            <w:vAlign w:val="bottom"/>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80" w:type="dxa"/>
            <w:gridSpan w:val="2"/>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r>
      <w:tr>
        <w:tblPrEx>
          <w:tblLayout w:type="fixed"/>
          <w:tblCellMar>
            <w:top w:w="0" w:type="dxa"/>
            <w:left w:w="108" w:type="dxa"/>
            <w:bottom w:w="0" w:type="dxa"/>
            <w:right w:w="108" w:type="dxa"/>
          </w:tblCellMar>
        </w:tblPrEx>
        <w:trPr>
          <w:gridBefore w:val="1"/>
          <w:gridAfter w:val="1"/>
          <w:wBefore w:w="15" w:type="dxa"/>
          <w:wAfter w:w="795" w:type="dxa"/>
          <w:trHeight w:val="1200" w:hRule="atLeast"/>
        </w:trPr>
        <w:tc>
          <w:tcPr>
            <w:tcW w:w="600" w:type="dxa"/>
            <w:tcBorders>
              <w:top w:val="single" w:color="auto" w:sz="4" w:space="0"/>
              <w:left w:val="single" w:color="auto" w:sz="4" w:space="0"/>
              <w:bottom w:val="single" w:color="auto" w:sz="4" w:space="0"/>
              <w:right w:val="single" w:color="auto" w:sz="4" w:space="0"/>
            </w:tcBorders>
            <w:shd w:val="clear" w:color="000000" w:fill="FFFFFF"/>
            <w:vAlign w:val="center"/>
          </w:tcPr>
          <w:p>
            <w:pPr>
              <w:widowControl/>
              <w:jc w:val="right"/>
              <w:rPr>
                <w:rFonts w:ascii="宋体" w:hAnsi="宋体" w:cs="宋体"/>
                <w:kern w:val="0"/>
                <w:sz w:val="20"/>
                <w:szCs w:val="20"/>
              </w:rPr>
            </w:pPr>
            <w:r>
              <w:rPr>
                <w:rFonts w:hint="eastAsia" w:ascii="宋体" w:hAnsi="宋体" w:cs="宋体"/>
                <w:kern w:val="0"/>
                <w:sz w:val="20"/>
                <w:szCs w:val="20"/>
              </w:rPr>
              <w:t>12</w:t>
            </w:r>
          </w:p>
        </w:tc>
        <w:tc>
          <w:tcPr>
            <w:tcW w:w="2380" w:type="dxa"/>
            <w:gridSpan w:val="3"/>
            <w:tcBorders>
              <w:top w:val="single" w:color="auto" w:sz="4" w:space="0"/>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网络键盘</w:t>
            </w:r>
          </w:p>
        </w:tc>
        <w:tc>
          <w:tcPr>
            <w:tcW w:w="3760" w:type="dxa"/>
            <w:tcBorders>
              <w:top w:val="single" w:color="auto" w:sz="4" w:space="0"/>
              <w:left w:val="nil"/>
              <w:bottom w:val="single" w:color="auto" w:sz="4" w:space="0"/>
              <w:right w:val="single" w:color="auto" w:sz="4" w:space="0"/>
            </w:tcBorders>
            <w:shd w:val="clear" w:color="000000" w:fill="FFFFFF"/>
            <w:vAlign w:val="bottom"/>
          </w:tcPr>
          <w:p>
            <w:pPr>
              <w:widowControl/>
              <w:jc w:val="left"/>
              <w:rPr>
                <w:rFonts w:ascii="宋体" w:hAnsi="宋体" w:cs="宋体"/>
                <w:kern w:val="0"/>
                <w:sz w:val="20"/>
                <w:szCs w:val="20"/>
              </w:rPr>
            </w:pPr>
            <w:r>
              <w:rPr>
                <w:rFonts w:hint="eastAsia" w:ascii="宋体" w:hAnsi="宋体" w:cs="宋体"/>
                <w:kern w:val="0"/>
                <w:sz w:val="20"/>
                <w:szCs w:val="20"/>
              </w:rPr>
              <w:t>网络键盘，网络/串口（232/485）接入方式，4维摇杆控制，7 英寸800*480 的触摸式液晶屏，音频输入/输出口，1个USB接口，1路1080P，兼容公司各行业平台软件、全系列前后端、监控中心设备。</w:t>
            </w:r>
          </w:p>
        </w:tc>
        <w:tc>
          <w:tcPr>
            <w:tcW w:w="900" w:type="dxa"/>
            <w:gridSpan w:val="2"/>
            <w:tcBorders>
              <w:top w:val="single" w:color="auto" w:sz="4" w:space="0"/>
              <w:left w:val="nil"/>
              <w:bottom w:val="single" w:color="auto" w:sz="4" w:space="0"/>
              <w:right w:val="single" w:color="auto" w:sz="4" w:space="0"/>
            </w:tcBorders>
            <w:shd w:val="clear" w:color="000000" w:fill="FFFFFF"/>
            <w:vAlign w:val="bottom"/>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80" w:type="dxa"/>
            <w:gridSpan w:val="2"/>
            <w:tcBorders>
              <w:top w:val="single" w:color="auto" w:sz="4" w:space="0"/>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right"/>
              <w:rPr>
                <w:rFonts w:ascii="宋体" w:hAnsi="宋体" w:cs="宋体"/>
                <w:kern w:val="0"/>
                <w:sz w:val="20"/>
                <w:szCs w:val="20"/>
              </w:rPr>
            </w:pPr>
            <w:r>
              <w:rPr>
                <w:rFonts w:hint="eastAsia" w:ascii="宋体" w:hAnsi="宋体" w:cs="宋体"/>
                <w:kern w:val="0"/>
                <w:sz w:val="20"/>
                <w:szCs w:val="20"/>
              </w:rPr>
              <w:t>13</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大屏专用线缆</w:t>
            </w:r>
          </w:p>
        </w:tc>
        <w:tc>
          <w:tcPr>
            <w:tcW w:w="3760"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kern w:val="0"/>
                <w:sz w:val="20"/>
                <w:szCs w:val="20"/>
              </w:rPr>
            </w:pPr>
            <w:r>
              <w:rPr>
                <w:rFonts w:hint="eastAsia" w:ascii="宋体" w:hAnsi="宋体" w:cs="宋体"/>
                <w:kern w:val="0"/>
                <w:sz w:val="20"/>
                <w:szCs w:val="20"/>
              </w:rPr>
              <w:t>大屏专用线缆</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条</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9</w:t>
            </w:r>
          </w:p>
        </w:tc>
      </w:tr>
      <w:tr>
        <w:tblPrEx>
          <w:tblLayout w:type="fixed"/>
          <w:tblCellMar>
            <w:top w:w="0" w:type="dxa"/>
            <w:left w:w="108" w:type="dxa"/>
            <w:bottom w:w="0" w:type="dxa"/>
            <w:right w:w="108" w:type="dxa"/>
          </w:tblCellMar>
        </w:tblPrEx>
        <w:trPr>
          <w:gridBefore w:val="1"/>
          <w:gridAfter w:val="1"/>
          <w:wBefore w:w="15" w:type="dxa"/>
          <w:wAfter w:w="795" w:type="dxa"/>
          <w:trHeight w:val="72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right"/>
              <w:rPr>
                <w:rFonts w:ascii="宋体" w:hAnsi="宋体" w:cs="宋体"/>
                <w:kern w:val="0"/>
                <w:sz w:val="20"/>
                <w:szCs w:val="20"/>
              </w:rPr>
            </w:pPr>
            <w:r>
              <w:rPr>
                <w:rFonts w:hint="eastAsia" w:ascii="宋体" w:hAnsi="宋体" w:cs="宋体"/>
                <w:kern w:val="0"/>
                <w:sz w:val="20"/>
                <w:szCs w:val="20"/>
              </w:rPr>
              <w:t>14</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监控客户端电脑</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CPU：酷睿双核3.0； 内存：DDR3 4G；</w:t>
            </w:r>
            <w:r>
              <w:rPr>
                <w:rFonts w:hint="eastAsia" w:ascii="宋体" w:hAnsi="宋体" w:cs="宋体"/>
                <w:kern w:val="0"/>
                <w:sz w:val="20"/>
                <w:szCs w:val="20"/>
              </w:rPr>
              <w:br w:type="textWrapping"/>
            </w:r>
            <w:r>
              <w:rPr>
                <w:rFonts w:hint="eastAsia" w:ascii="宋体" w:hAnsi="宋体" w:cs="宋体"/>
                <w:kern w:val="0"/>
                <w:sz w:val="20"/>
                <w:szCs w:val="20"/>
              </w:rPr>
              <w:t>硬盘：500G；液晶显示器：LED19.5寸；</w:t>
            </w:r>
            <w:r>
              <w:rPr>
                <w:rFonts w:hint="eastAsia" w:ascii="宋体" w:hAnsi="宋体" w:cs="宋体"/>
                <w:kern w:val="0"/>
                <w:sz w:val="20"/>
                <w:szCs w:val="20"/>
              </w:rPr>
              <w:br w:type="textWrapping"/>
            </w:r>
            <w:r>
              <w:rPr>
                <w:rFonts w:hint="eastAsia" w:ascii="宋体" w:hAnsi="宋体" w:cs="宋体"/>
                <w:kern w:val="0"/>
                <w:sz w:val="20"/>
                <w:szCs w:val="20"/>
              </w:rPr>
              <w:t>含键盘鼠标</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80" w:type="dxa"/>
            <w:gridSpan w:val="2"/>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right"/>
              <w:rPr>
                <w:rFonts w:ascii="宋体" w:hAnsi="宋体" w:cs="宋体"/>
                <w:kern w:val="0"/>
                <w:sz w:val="20"/>
                <w:szCs w:val="20"/>
              </w:rPr>
            </w:pPr>
            <w:r>
              <w:rPr>
                <w:rFonts w:hint="eastAsia" w:ascii="宋体" w:hAnsi="宋体" w:cs="宋体"/>
                <w:kern w:val="0"/>
                <w:sz w:val="20"/>
                <w:szCs w:val="20"/>
              </w:rPr>
              <w:t>15</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机架式光纤终端盒</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可抽拉式</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1180" w:type="dxa"/>
            <w:gridSpan w:val="2"/>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r>
        <w:tblPrEx>
          <w:tblLayout w:type="fixed"/>
          <w:tblCellMar>
            <w:top w:w="0" w:type="dxa"/>
            <w:left w:w="108" w:type="dxa"/>
            <w:bottom w:w="0" w:type="dxa"/>
            <w:right w:w="108" w:type="dxa"/>
          </w:tblCellMar>
        </w:tblPrEx>
        <w:trPr>
          <w:gridBefore w:val="1"/>
          <w:gridAfter w:val="1"/>
          <w:wBefore w:w="15" w:type="dxa"/>
          <w:wAfter w:w="795" w:type="dxa"/>
          <w:trHeight w:val="96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right"/>
              <w:rPr>
                <w:rFonts w:ascii="宋体" w:hAnsi="宋体" w:cs="宋体"/>
                <w:kern w:val="0"/>
                <w:sz w:val="20"/>
                <w:szCs w:val="20"/>
              </w:rPr>
            </w:pPr>
            <w:r>
              <w:rPr>
                <w:rFonts w:hint="eastAsia" w:ascii="宋体" w:hAnsi="宋体" w:cs="宋体"/>
                <w:kern w:val="0"/>
                <w:sz w:val="20"/>
                <w:szCs w:val="20"/>
              </w:rPr>
              <w:t>16</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网络机柜</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标准42U；</w:t>
            </w:r>
            <w:r>
              <w:rPr>
                <w:rFonts w:hint="eastAsia" w:ascii="宋体" w:hAnsi="宋体" w:cs="宋体"/>
                <w:kern w:val="0"/>
                <w:sz w:val="20"/>
                <w:szCs w:val="20"/>
              </w:rPr>
              <w:br w:type="textWrapping"/>
            </w:r>
            <w:r>
              <w:rPr>
                <w:rFonts w:hint="eastAsia" w:ascii="宋体" w:hAnsi="宋体" w:cs="宋体"/>
                <w:kern w:val="0"/>
                <w:sz w:val="20"/>
                <w:szCs w:val="20"/>
              </w:rPr>
              <w:t>600×1000×2000（宽×深×高)</w:t>
            </w:r>
            <w:r>
              <w:rPr>
                <w:rFonts w:ascii="宋体" w:hAnsi="宋体" w:cs="宋体"/>
                <w:kern w:val="0"/>
                <w:sz w:val="20"/>
                <w:szCs w:val="20"/>
              </w:rPr>
              <w:t xml:space="preserve"> </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right"/>
              <w:rPr>
                <w:rFonts w:ascii="宋体" w:hAnsi="宋体" w:cs="宋体"/>
                <w:kern w:val="0"/>
                <w:sz w:val="20"/>
                <w:szCs w:val="20"/>
              </w:rPr>
            </w:pPr>
            <w:r>
              <w:rPr>
                <w:rFonts w:hint="eastAsia" w:ascii="宋体" w:hAnsi="宋体" w:cs="宋体"/>
                <w:kern w:val="0"/>
                <w:sz w:val="20"/>
                <w:szCs w:val="20"/>
              </w:rPr>
              <w:t>17</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PDU排插</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220V/10A，6位万用插孔</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118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6</w:t>
            </w:r>
          </w:p>
        </w:tc>
      </w:tr>
      <w:tr>
        <w:tblPrEx>
          <w:tblLayout w:type="fixed"/>
          <w:tblCellMar>
            <w:top w:w="0" w:type="dxa"/>
            <w:left w:w="108" w:type="dxa"/>
            <w:bottom w:w="0" w:type="dxa"/>
            <w:right w:w="108" w:type="dxa"/>
          </w:tblCellMar>
        </w:tblPrEx>
        <w:trPr>
          <w:gridBefore w:val="1"/>
          <w:gridAfter w:val="1"/>
          <w:wBefore w:w="15" w:type="dxa"/>
          <w:wAfter w:w="795" w:type="dxa"/>
          <w:trHeight w:val="240" w:hRule="atLeast"/>
        </w:trPr>
        <w:tc>
          <w:tcPr>
            <w:tcW w:w="600" w:type="dxa"/>
            <w:tcBorders>
              <w:top w:val="nil"/>
              <w:left w:val="single" w:color="auto" w:sz="4" w:space="0"/>
              <w:bottom w:val="single" w:color="auto" w:sz="4" w:space="0"/>
              <w:right w:val="single" w:color="auto" w:sz="4" w:space="0"/>
            </w:tcBorders>
            <w:shd w:val="clear" w:color="000000" w:fill="FFFFFF"/>
            <w:vAlign w:val="center"/>
          </w:tcPr>
          <w:p>
            <w:pPr>
              <w:widowControl/>
              <w:jc w:val="right"/>
              <w:rPr>
                <w:rFonts w:ascii="宋体" w:hAnsi="宋体" w:cs="宋体"/>
                <w:kern w:val="0"/>
                <w:sz w:val="20"/>
                <w:szCs w:val="20"/>
              </w:rPr>
            </w:pPr>
            <w:r>
              <w:rPr>
                <w:rFonts w:hint="eastAsia" w:ascii="宋体" w:hAnsi="宋体" w:cs="宋体"/>
                <w:kern w:val="0"/>
                <w:sz w:val="20"/>
                <w:szCs w:val="20"/>
              </w:rPr>
              <w:t>18</w:t>
            </w:r>
          </w:p>
        </w:tc>
        <w:tc>
          <w:tcPr>
            <w:tcW w:w="2380" w:type="dxa"/>
            <w:gridSpan w:val="3"/>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操作控制台</w:t>
            </w:r>
          </w:p>
        </w:tc>
        <w:tc>
          <w:tcPr>
            <w:tcW w:w="3760" w:type="dxa"/>
            <w:tcBorders>
              <w:top w:val="nil"/>
              <w:left w:val="nil"/>
              <w:bottom w:val="single" w:color="auto" w:sz="4" w:space="0"/>
              <w:right w:val="single" w:color="auto" w:sz="4" w:space="0"/>
            </w:tcBorders>
            <w:shd w:val="clear" w:color="000000" w:fill="FFFFFF"/>
            <w:vAlign w:val="center"/>
          </w:tcPr>
          <w:p>
            <w:pPr>
              <w:widowControl/>
              <w:jc w:val="left"/>
              <w:rPr>
                <w:rFonts w:ascii="宋体" w:hAnsi="宋体" w:cs="宋体"/>
                <w:kern w:val="0"/>
                <w:sz w:val="20"/>
                <w:szCs w:val="20"/>
              </w:rPr>
            </w:pPr>
            <w:r>
              <w:rPr>
                <w:rFonts w:hint="eastAsia" w:ascii="宋体" w:hAnsi="宋体" w:cs="宋体"/>
                <w:kern w:val="0"/>
                <w:sz w:val="20"/>
                <w:szCs w:val="20"/>
              </w:rPr>
              <w:t>四联</w:t>
            </w:r>
          </w:p>
        </w:tc>
        <w:tc>
          <w:tcPr>
            <w:tcW w:w="900" w:type="dxa"/>
            <w:gridSpan w:val="2"/>
            <w:tcBorders>
              <w:top w:val="nil"/>
              <w:left w:val="nil"/>
              <w:bottom w:val="single" w:color="auto" w:sz="4" w:space="0"/>
              <w:right w:val="single" w:color="auto" w:sz="4" w:space="0"/>
            </w:tcBorders>
            <w:shd w:val="clear" w:color="000000" w:fill="FFFFFF"/>
            <w:vAlign w:val="center"/>
          </w:tcPr>
          <w:p>
            <w:pPr>
              <w:widowControl/>
              <w:jc w:val="center"/>
              <w:rPr>
                <w:rFonts w:ascii="宋体" w:hAnsi="宋体" w:cs="宋体"/>
                <w:kern w:val="0"/>
                <w:sz w:val="20"/>
                <w:szCs w:val="20"/>
              </w:rPr>
            </w:pPr>
            <w:r>
              <w:rPr>
                <w:rFonts w:hint="eastAsia" w:ascii="宋体" w:hAnsi="宋体" w:cs="宋体"/>
                <w:kern w:val="0"/>
                <w:sz w:val="20"/>
                <w:szCs w:val="20"/>
              </w:rPr>
              <w:t>套</w:t>
            </w:r>
          </w:p>
        </w:tc>
        <w:tc>
          <w:tcPr>
            <w:tcW w:w="1180" w:type="dxa"/>
            <w:gridSpan w:val="2"/>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w:t>
            </w:r>
          </w:p>
        </w:tc>
      </w:tr>
    </w:tbl>
    <w:p>
      <w:pPr>
        <w:spacing w:line="360" w:lineRule="auto"/>
        <w:rPr>
          <w:rFonts w:hint="eastAsia" w:ascii="宋体" w:hAnsi="宋体" w:cs="宋体"/>
          <w:b/>
          <w:sz w:val="24"/>
        </w:rPr>
      </w:pPr>
    </w:p>
    <w:p>
      <w:pPr>
        <w:spacing w:line="360" w:lineRule="auto"/>
        <w:rPr>
          <w:rFonts w:hint="eastAsia" w:ascii="宋体" w:hAnsi="宋体" w:cs="宋体"/>
          <w:b/>
          <w:sz w:val="24"/>
        </w:rPr>
      </w:pPr>
    </w:p>
    <w:tbl>
      <w:tblPr>
        <w:tblStyle w:val="12"/>
        <w:tblW w:w="8256" w:type="dxa"/>
        <w:jc w:val="center"/>
        <w:tblInd w:w="0" w:type="dxa"/>
        <w:tblLayout w:type="fixed"/>
        <w:tblCellMar>
          <w:top w:w="0" w:type="dxa"/>
          <w:left w:w="108" w:type="dxa"/>
          <w:bottom w:w="0" w:type="dxa"/>
          <w:right w:w="108" w:type="dxa"/>
        </w:tblCellMar>
      </w:tblPr>
      <w:tblGrid>
        <w:gridCol w:w="2102"/>
        <w:gridCol w:w="2842"/>
        <w:gridCol w:w="604"/>
        <w:gridCol w:w="604"/>
        <w:gridCol w:w="2104"/>
      </w:tblGrid>
      <w:tr>
        <w:tblPrEx>
          <w:tblLayout w:type="fixed"/>
          <w:tblCellMar>
            <w:top w:w="0" w:type="dxa"/>
            <w:left w:w="108" w:type="dxa"/>
            <w:bottom w:w="0" w:type="dxa"/>
            <w:right w:w="108" w:type="dxa"/>
          </w:tblCellMar>
        </w:tblPrEx>
        <w:trPr>
          <w:trHeight w:val="240" w:hRule="atLeast"/>
          <w:jc w:val="center"/>
        </w:trPr>
        <w:tc>
          <w:tcPr>
            <w:tcW w:w="8256" w:type="dxa"/>
            <w:gridSpan w:val="5"/>
            <w:tcBorders>
              <w:top w:val="nil"/>
              <w:left w:val="nil"/>
              <w:bottom w:val="single" w:color="auto" w:sz="4" w:space="0"/>
              <w:right w:val="nil"/>
            </w:tcBorders>
            <w:vAlign w:val="bottom"/>
          </w:tcPr>
          <w:p>
            <w:pPr>
              <w:widowControl/>
              <w:jc w:val="center"/>
              <w:rPr>
                <w:rFonts w:ascii="宋体" w:hAnsi="宋体" w:cs="宋体"/>
                <w:b/>
                <w:bCs/>
                <w:kern w:val="0"/>
                <w:sz w:val="20"/>
                <w:szCs w:val="20"/>
              </w:rPr>
            </w:pPr>
            <w:r>
              <w:rPr>
                <w:rFonts w:hint="eastAsia" w:ascii="宋体" w:hAnsi="宋体" w:cs="宋体"/>
                <w:b/>
                <w:bCs/>
                <w:kern w:val="0"/>
                <w:sz w:val="20"/>
                <w:szCs w:val="20"/>
              </w:rPr>
              <w:t>综合布线</w:t>
            </w:r>
          </w:p>
        </w:tc>
      </w:tr>
      <w:tr>
        <w:tblPrEx>
          <w:tblLayout w:type="fixed"/>
          <w:tblCellMar>
            <w:top w:w="0" w:type="dxa"/>
            <w:left w:w="108" w:type="dxa"/>
            <w:bottom w:w="0" w:type="dxa"/>
            <w:right w:w="108" w:type="dxa"/>
          </w:tblCellMar>
        </w:tblPrEx>
        <w:trPr>
          <w:trHeight w:val="240" w:hRule="atLeast"/>
          <w:jc w:val="center"/>
        </w:trPr>
        <w:tc>
          <w:tcPr>
            <w:tcW w:w="2102" w:type="dxa"/>
            <w:tcBorders>
              <w:top w:val="nil"/>
              <w:left w:val="single" w:color="auto" w:sz="4" w:space="0"/>
              <w:bottom w:val="single" w:color="auto" w:sz="4" w:space="0"/>
              <w:right w:val="single" w:color="auto" w:sz="4" w:space="0"/>
            </w:tcBorders>
            <w:shd w:val="clear" w:color="000000" w:fill="FFFF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名称</w:t>
            </w:r>
          </w:p>
        </w:tc>
        <w:tc>
          <w:tcPr>
            <w:tcW w:w="2842" w:type="dxa"/>
            <w:tcBorders>
              <w:top w:val="single" w:color="auto" w:sz="4" w:space="0"/>
              <w:left w:val="nil"/>
              <w:bottom w:val="single" w:color="auto" w:sz="4" w:space="0"/>
              <w:right w:val="single" w:color="000000" w:sz="4" w:space="0"/>
            </w:tcBorders>
            <w:shd w:val="clear" w:color="000000" w:fill="FFFF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参数</w:t>
            </w:r>
          </w:p>
        </w:tc>
        <w:tc>
          <w:tcPr>
            <w:tcW w:w="604" w:type="dxa"/>
            <w:tcBorders>
              <w:top w:val="nil"/>
              <w:left w:val="nil"/>
              <w:bottom w:val="single" w:color="auto" w:sz="4" w:space="0"/>
              <w:right w:val="single" w:color="auto" w:sz="4" w:space="0"/>
            </w:tcBorders>
            <w:shd w:val="clear" w:color="000000" w:fill="FFFF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数量</w:t>
            </w:r>
          </w:p>
        </w:tc>
        <w:tc>
          <w:tcPr>
            <w:tcW w:w="604" w:type="dxa"/>
            <w:tcBorders>
              <w:top w:val="nil"/>
              <w:left w:val="nil"/>
              <w:bottom w:val="single" w:color="auto" w:sz="4" w:space="0"/>
              <w:right w:val="single" w:color="auto" w:sz="4" w:space="0"/>
            </w:tcBorders>
            <w:shd w:val="clear" w:color="000000" w:fill="FFFF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单位</w:t>
            </w:r>
          </w:p>
        </w:tc>
        <w:tc>
          <w:tcPr>
            <w:tcW w:w="2104" w:type="dxa"/>
            <w:tcBorders>
              <w:top w:val="nil"/>
              <w:left w:val="nil"/>
              <w:bottom w:val="single" w:color="auto" w:sz="4" w:space="0"/>
              <w:right w:val="single" w:color="auto" w:sz="4" w:space="0"/>
            </w:tcBorders>
            <w:shd w:val="clear" w:color="000000" w:fill="FFFF00"/>
            <w:vAlign w:val="center"/>
          </w:tcPr>
          <w:p>
            <w:pPr>
              <w:widowControl/>
              <w:jc w:val="center"/>
              <w:rPr>
                <w:rFonts w:ascii="宋体" w:hAnsi="宋体" w:cs="宋体"/>
                <w:b/>
                <w:bCs/>
                <w:kern w:val="0"/>
                <w:sz w:val="20"/>
                <w:szCs w:val="20"/>
              </w:rPr>
            </w:pPr>
            <w:r>
              <w:rPr>
                <w:rFonts w:hint="eastAsia" w:ascii="宋体" w:hAnsi="宋体" w:cs="宋体"/>
                <w:b/>
                <w:bCs/>
                <w:kern w:val="0"/>
                <w:sz w:val="20"/>
                <w:szCs w:val="20"/>
              </w:rPr>
              <w:t>备注</w:t>
            </w:r>
          </w:p>
        </w:tc>
      </w:tr>
      <w:tr>
        <w:tblPrEx>
          <w:tblLayout w:type="fixed"/>
          <w:tblCellMar>
            <w:top w:w="0" w:type="dxa"/>
            <w:left w:w="108" w:type="dxa"/>
            <w:bottom w:w="0" w:type="dxa"/>
            <w:right w:w="108" w:type="dxa"/>
          </w:tblCellMar>
        </w:tblPrEx>
        <w:trPr>
          <w:trHeight w:val="240" w:hRule="atLeast"/>
          <w:jc w:val="center"/>
        </w:trPr>
        <w:tc>
          <w:tcPr>
            <w:tcW w:w="2102" w:type="dxa"/>
            <w:vMerge w:val="restart"/>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面板</w:t>
            </w:r>
          </w:p>
        </w:tc>
        <w:tc>
          <w:tcPr>
            <w:tcW w:w="2842" w:type="dxa"/>
            <w:vMerge w:val="restart"/>
            <w:tcBorders>
              <w:top w:val="single" w:color="auto" w:sz="4" w:space="0"/>
              <w:left w:val="single" w:color="auto" w:sz="4" w:space="0"/>
              <w:bottom w:val="single" w:color="000000"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双孔</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28</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2104" w:type="dxa"/>
            <w:tcBorders>
              <w:top w:val="nil"/>
              <w:left w:val="nil"/>
              <w:bottom w:val="single" w:color="auto" w:sz="4" w:space="0"/>
              <w:right w:val="single" w:color="auto" w:sz="4" w:space="0"/>
            </w:tcBorders>
            <w:vAlign w:val="bottom"/>
          </w:tcPr>
          <w:p>
            <w:pPr>
              <w:widowControl/>
              <w:jc w:val="left"/>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240" w:hRule="atLeast"/>
          <w:jc w:val="center"/>
        </w:trPr>
        <w:tc>
          <w:tcPr>
            <w:tcW w:w="2102"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2842" w:type="dxa"/>
            <w:vMerge w:val="continue"/>
            <w:tcBorders>
              <w:top w:val="single" w:color="auto" w:sz="4" w:space="0"/>
              <w:left w:val="single" w:color="auto" w:sz="4" w:space="0"/>
              <w:bottom w:val="single" w:color="000000" w:sz="4" w:space="0"/>
              <w:right w:val="single" w:color="000000" w:sz="4" w:space="0"/>
            </w:tcBorders>
            <w:vAlign w:val="center"/>
          </w:tcPr>
          <w:p>
            <w:pPr>
              <w:widowControl/>
              <w:jc w:val="left"/>
              <w:rPr>
                <w:rFonts w:ascii="宋体" w:hAnsi="宋体" w:cs="宋体"/>
                <w:kern w:val="0"/>
                <w:sz w:val="20"/>
                <w:szCs w:val="20"/>
              </w:rPr>
            </w:pP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46</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2104" w:type="dxa"/>
            <w:tcBorders>
              <w:top w:val="nil"/>
              <w:left w:val="nil"/>
              <w:bottom w:val="single" w:color="auto" w:sz="4" w:space="0"/>
              <w:right w:val="single" w:color="auto" w:sz="4" w:space="0"/>
            </w:tcBorders>
            <w:vAlign w:val="bottom"/>
          </w:tcPr>
          <w:p>
            <w:pPr>
              <w:widowControl/>
              <w:jc w:val="left"/>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240" w:hRule="atLeast"/>
          <w:jc w:val="center"/>
        </w:trPr>
        <w:tc>
          <w:tcPr>
            <w:tcW w:w="2102"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2842" w:type="dxa"/>
            <w:vMerge w:val="continue"/>
            <w:tcBorders>
              <w:top w:val="single" w:color="auto" w:sz="4" w:space="0"/>
              <w:left w:val="single" w:color="auto" w:sz="4" w:space="0"/>
              <w:bottom w:val="single" w:color="000000" w:sz="4" w:space="0"/>
              <w:right w:val="single" w:color="000000" w:sz="4" w:space="0"/>
            </w:tcBorders>
            <w:vAlign w:val="center"/>
          </w:tcPr>
          <w:p>
            <w:pPr>
              <w:widowControl/>
              <w:jc w:val="left"/>
              <w:rPr>
                <w:rFonts w:ascii="宋体" w:hAnsi="宋体" w:cs="宋体"/>
                <w:kern w:val="0"/>
                <w:sz w:val="20"/>
                <w:szCs w:val="20"/>
              </w:rPr>
            </w:pP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92</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2104" w:type="dxa"/>
            <w:tcBorders>
              <w:top w:val="nil"/>
              <w:left w:val="nil"/>
              <w:bottom w:val="single" w:color="auto" w:sz="4" w:space="0"/>
              <w:right w:val="single" w:color="auto" w:sz="4" w:space="0"/>
            </w:tcBorders>
            <w:vAlign w:val="bottom"/>
          </w:tcPr>
          <w:p>
            <w:pPr>
              <w:widowControl/>
              <w:jc w:val="left"/>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240" w:hRule="atLeast"/>
          <w:jc w:val="center"/>
        </w:trPr>
        <w:tc>
          <w:tcPr>
            <w:tcW w:w="2102" w:type="dxa"/>
            <w:vMerge w:val="continue"/>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p>
        </w:tc>
        <w:tc>
          <w:tcPr>
            <w:tcW w:w="2842" w:type="dxa"/>
            <w:vMerge w:val="continue"/>
            <w:tcBorders>
              <w:top w:val="single" w:color="auto" w:sz="4" w:space="0"/>
              <w:left w:val="single" w:color="auto" w:sz="4" w:space="0"/>
              <w:bottom w:val="single" w:color="000000" w:sz="4" w:space="0"/>
              <w:right w:val="single" w:color="000000" w:sz="4" w:space="0"/>
            </w:tcBorders>
            <w:vAlign w:val="center"/>
          </w:tcPr>
          <w:p>
            <w:pPr>
              <w:widowControl/>
              <w:jc w:val="left"/>
              <w:rPr>
                <w:rFonts w:ascii="宋体" w:hAnsi="宋体" w:cs="宋体"/>
                <w:kern w:val="0"/>
                <w:sz w:val="20"/>
                <w:szCs w:val="20"/>
              </w:rPr>
            </w:pP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92</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2104" w:type="dxa"/>
            <w:tcBorders>
              <w:top w:val="nil"/>
              <w:left w:val="nil"/>
              <w:bottom w:val="single" w:color="auto" w:sz="4" w:space="0"/>
              <w:right w:val="single" w:color="auto" w:sz="4" w:space="0"/>
            </w:tcBorders>
            <w:vAlign w:val="bottom"/>
          </w:tcPr>
          <w:p>
            <w:pPr>
              <w:widowControl/>
              <w:jc w:val="left"/>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240" w:hRule="atLeast"/>
          <w:jc w:val="center"/>
        </w:trPr>
        <w:tc>
          <w:tcPr>
            <w:tcW w:w="2102" w:type="dxa"/>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六类网络模块</w:t>
            </w:r>
          </w:p>
        </w:tc>
        <w:tc>
          <w:tcPr>
            <w:tcW w:w="2842" w:type="dxa"/>
            <w:tcBorders>
              <w:top w:val="single" w:color="auto" w:sz="4" w:space="0"/>
              <w:left w:val="nil"/>
              <w:bottom w:val="single" w:color="auto"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六类</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400</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2104" w:type="dxa"/>
            <w:tcBorders>
              <w:top w:val="nil"/>
              <w:left w:val="nil"/>
              <w:bottom w:val="single" w:color="auto" w:sz="4" w:space="0"/>
              <w:right w:val="single" w:color="auto" w:sz="4" w:space="0"/>
            </w:tcBorders>
            <w:vAlign w:val="bottom"/>
          </w:tcPr>
          <w:p>
            <w:pPr>
              <w:widowControl/>
              <w:jc w:val="left"/>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240" w:hRule="atLeast"/>
          <w:jc w:val="center"/>
        </w:trPr>
        <w:tc>
          <w:tcPr>
            <w:tcW w:w="2102" w:type="dxa"/>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电话模块</w:t>
            </w:r>
          </w:p>
        </w:tc>
        <w:tc>
          <w:tcPr>
            <w:tcW w:w="2842" w:type="dxa"/>
            <w:tcBorders>
              <w:top w:val="single" w:color="auto" w:sz="4" w:space="0"/>
              <w:left w:val="nil"/>
              <w:bottom w:val="single" w:color="auto"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RG11</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130</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2104" w:type="dxa"/>
            <w:tcBorders>
              <w:top w:val="nil"/>
              <w:left w:val="nil"/>
              <w:bottom w:val="single" w:color="auto" w:sz="4" w:space="0"/>
              <w:right w:val="single" w:color="auto" w:sz="4" w:space="0"/>
            </w:tcBorders>
            <w:vAlign w:val="bottom"/>
          </w:tcPr>
          <w:p>
            <w:pPr>
              <w:widowControl/>
              <w:jc w:val="left"/>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240" w:hRule="atLeast"/>
          <w:jc w:val="center"/>
        </w:trPr>
        <w:tc>
          <w:tcPr>
            <w:tcW w:w="2102" w:type="dxa"/>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配线架</w:t>
            </w:r>
          </w:p>
        </w:tc>
        <w:tc>
          <w:tcPr>
            <w:tcW w:w="2842" w:type="dxa"/>
            <w:tcBorders>
              <w:top w:val="single" w:color="auto" w:sz="4" w:space="0"/>
              <w:left w:val="nil"/>
              <w:bottom w:val="single" w:color="auto"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24口</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30</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2104" w:type="dxa"/>
            <w:tcBorders>
              <w:top w:val="nil"/>
              <w:left w:val="nil"/>
              <w:bottom w:val="single" w:color="auto" w:sz="4" w:space="0"/>
              <w:right w:val="single" w:color="auto" w:sz="4" w:space="0"/>
            </w:tcBorders>
            <w:vAlign w:val="bottom"/>
          </w:tcPr>
          <w:p>
            <w:pPr>
              <w:widowControl/>
              <w:jc w:val="left"/>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240" w:hRule="atLeast"/>
          <w:jc w:val="center"/>
        </w:trPr>
        <w:tc>
          <w:tcPr>
            <w:tcW w:w="2102" w:type="dxa"/>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理线环</w:t>
            </w:r>
          </w:p>
        </w:tc>
        <w:tc>
          <w:tcPr>
            <w:tcW w:w="2842" w:type="dxa"/>
            <w:tcBorders>
              <w:top w:val="single" w:color="auto" w:sz="4" w:space="0"/>
              <w:left w:val="nil"/>
              <w:bottom w:val="single" w:color="auto"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24口</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30</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个</w:t>
            </w:r>
          </w:p>
        </w:tc>
        <w:tc>
          <w:tcPr>
            <w:tcW w:w="2104" w:type="dxa"/>
            <w:tcBorders>
              <w:top w:val="nil"/>
              <w:left w:val="nil"/>
              <w:bottom w:val="single" w:color="auto" w:sz="4" w:space="0"/>
              <w:right w:val="single" w:color="auto" w:sz="4" w:space="0"/>
            </w:tcBorders>
            <w:vAlign w:val="bottom"/>
          </w:tcPr>
          <w:p>
            <w:pPr>
              <w:widowControl/>
              <w:jc w:val="left"/>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240" w:hRule="atLeast"/>
          <w:jc w:val="center"/>
        </w:trPr>
        <w:tc>
          <w:tcPr>
            <w:tcW w:w="2102" w:type="dxa"/>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机房UPS</w:t>
            </w:r>
          </w:p>
        </w:tc>
        <w:tc>
          <w:tcPr>
            <w:tcW w:w="2842" w:type="dxa"/>
            <w:tcBorders>
              <w:top w:val="single" w:color="auto" w:sz="4" w:space="0"/>
              <w:left w:val="nil"/>
              <w:bottom w:val="single" w:color="auto" w:sz="4" w:space="0"/>
              <w:right w:val="single" w:color="000000"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3OKVA</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2</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2104" w:type="dxa"/>
            <w:tcBorders>
              <w:top w:val="nil"/>
              <w:left w:val="nil"/>
              <w:bottom w:val="single" w:color="auto" w:sz="4" w:space="0"/>
              <w:right w:val="single" w:color="auto" w:sz="4" w:space="0"/>
            </w:tcBorders>
            <w:vAlign w:val="center"/>
          </w:tcPr>
          <w:p>
            <w:pPr>
              <w:widowControl/>
              <w:jc w:val="left"/>
              <w:rPr>
                <w:rFonts w:ascii="宋体" w:hAnsi="宋体" w:cs="宋体"/>
                <w:kern w:val="0"/>
                <w:sz w:val="20"/>
                <w:szCs w:val="20"/>
              </w:rPr>
            </w:pPr>
          </w:p>
        </w:tc>
      </w:tr>
      <w:tr>
        <w:tblPrEx>
          <w:tblLayout w:type="fixed"/>
          <w:tblCellMar>
            <w:top w:w="0" w:type="dxa"/>
            <w:left w:w="108" w:type="dxa"/>
            <w:bottom w:w="0" w:type="dxa"/>
            <w:right w:w="108" w:type="dxa"/>
          </w:tblCellMar>
        </w:tblPrEx>
        <w:trPr>
          <w:trHeight w:val="240" w:hRule="atLeast"/>
          <w:jc w:val="center"/>
        </w:trPr>
        <w:tc>
          <w:tcPr>
            <w:tcW w:w="2102" w:type="dxa"/>
            <w:tcBorders>
              <w:top w:val="nil"/>
              <w:left w:val="single" w:color="auto" w:sz="4" w:space="0"/>
              <w:bottom w:val="single" w:color="auto" w:sz="4" w:space="0"/>
              <w:right w:val="single" w:color="auto" w:sz="4" w:space="0"/>
            </w:tcBorders>
            <w:vAlign w:val="center"/>
          </w:tcPr>
          <w:p>
            <w:pPr>
              <w:widowControl/>
              <w:jc w:val="left"/>
              <w:rPr>
                <w:rFonts w:hint="eastAsia" w:ascii="宋体" w:hAnsi="宋体" w:cs="宋体"/>
                <w:kern w:val="0"/>
                <w:sz w:val="20"/>
                <w:szCs w:val="20"/>
              </w:rPr>
            </w:pPr>
            <w:r>
              <w:rPr>
                <w:rFonts w:hint="eastAsia" w:ascii="宋体" w:hAnsi="宋体" w:cs="宋体"/>
                <w:kern w:val="0"/>
                <w:sz w:val="20"/>
                <w:szCs w:val="20"/>
              </w:rPr>
              <w:t>电池</w:t>
            </w:r>
          </w:p>
        </w:tc>
        <w:tc>
          <w:tcPr>
            <w:tcW w:w="2842" w:type="dxa"/>
            <w:tcBorders>
              <w:top w:val="single" w:color="auto" w:sz="4" w:space="0"/>
              <w:left w:val="nil"/>
              <w:bottom w:val="single" w:color="auto" w:sz="4" w:space="0"/>
              <w:right w:val="single" w:color="000000" w:sz="4" w:space="0"/>
            </w:tcBorders>
            <w:vAlign w:val="center"/>
          </w:tcPr>
          <w:p>
            <w:pPr>
              <w:widowControl/>
              <w:jc w:val="left"/>
              <w:rPr>
                <w:rFonts w:hint="eastAsia" w:ascii="宋体" w:hAnsi="宋体" w:cs="宋体"/>
                <w:kern w:val="0"/>
                <w:sz w:val="20"/>
                <w:szCs w:val="20"/>
              </w:rPr>
            </w:pPr>
            <w:r>
              <w:rPr>
                <w:rFonts w:hint="eastAsia" w:ascii="宋体" w:hAnsi="宋体" w:cs="宋体"/>
                <w:kern w:val="0"/>
                <w:sz w:val="20"/>
                <w:szCs w:val="20"/>
              </w:rPr>
              <w:t>12V100AH</w:t>
            </w:r>
          </w:p>
        </w:tc>
        <w:tc>
          <w:tcPr>
            <w:tcW w:w="604" w:type="dxa"/>
            <w:tcBorders>
              <w:top w:val="nil"/>
              <w:left w:val="nil"/>
              <w:bottom w:val="single" w:color="auto" w:sz="4" w:space="0"/>
              <w:right w:val="single" w:color="auto" w:sz="4" w:space="0"/>
            </w:tcBorders>
            <w:vAlign w:val="center"/>
          </w:tcPr>
          <w:p>
            <w:pPr>
              <w:widowControl/>
              <w:jc w:val="center"/>
              <w:rPr>
                <w:rFonts w:hint="eastAsia" w:ascii="宋体" w:hAnsi="宋体" w:cs="宋体"/>
                <w:kern w:val="0"/>
                <w:sz w:val="20"/>
                <w:szCs w:val="20"/>
              </w:rPr>
            </w:pPr>
            <w:r>
              <w:rPr>
                <w:rFonts w:hint="eastAsia" w:ascii="宋体" w:hAnsi="宋体" w:cs="宋体"/>
                <w:kern w:val="0"/>
                <w:sz w:val="20"/>
                <w:szCs w:val="20"/>
              </w:rPr>
              <w:t>80</w:t>
            </w:r>
          </w:p>
        </w:tc>
        <w:tc>
          <w:tcPr>
            <w:tcW w:w="604" w:type="dxa"/>
            <w:tcBorders>
              <w:top w:val="nil"/>
              <w:left w:val="nil"/>
              <w:bottom w:val="single" w:color="auto" w:sz="4" w:space="0"/>
              <w:right w:val="single" w:color="auto" w:sz="4" w:space="0"/>
            </w:tcBorders>
            <w:vAlign w:val="center"/>
          </w:tcPr>
          <w:p>
            <w:pPr>
              <w:widowControl/>
              <w:jc w:val="center"/>
              <w:rPr>
                <w:rFonts w:hint="eastAsia" w:ascii="宋体" w:hAnsi="宋体" w:cs="宋体"/>
                <w:kern w:val="0"/>
                <w:sz w:val="20"/>
                <w:szCs w:val="20"/>
              </w:rPr>
            </w:pPr>
            <w:r>
              <w:rPr>
                <w:rFonts w:hint="eastAsia" w:ascii="宋体" w:hAnsi="宋体" w:cs="宋体"/>
                <w:kern w:val="0"/>
                <w:sz w:val="20"/>
                <w:szCs w:val="20"/>
              </w:rPr>
              <w:t>台</w:t>
            </w:r>
          </w:p>
        </w:tc>
        <w:tc>
          <w:tcPr>
            <w:tcW w:w="2104" w:type="dxa"/>
            <w:tcBorders>
              <w:top w:val="nil"/>
              <w:left w:val="nil"/>
              <w:bottom w:val="single" w:color="auto" w:sz="4" w:space="0"/>
              <w:right w:val="single" w:color="auto" w:sz="4" w:space="0"/>
            </w:tcBorders>
            <w:vAlign w:val="center"/>
          </w:tcPr>
          <w:p>
            <w:pPr>
              <w:widowControl/>
              <w:jc w:val="left"/>
              <w:rPr>
                <w:rFonts w:hint="eastAsia" w:ascii="宋体" w:hAnsi="宋体" w:cs="宋体"/>
                <w:kern w:val="0"/>
                <w:sz w:val="20"/>
                <w:szCs w:val="20"/>
              </w:rPr>
            </w:pPr>
          </w:p>
        </w:tc>
      </w:tr>
      <w:tr>
        <w:tblPrEx>
          <w:tblLayout w:type="fixed"/>
          <w:tblCellMar>
            <w:top w:w="0" w:type="dxa"/>
            <w:left w:w="108" w:type="dxa"/>
            <w:bottom w:w="0" w:type="dxa"/>
            <w:right w:w="108" w:type="dxa"/>
          </w:tblCellMar>
        </w:tblPrEx>
        <w:trPr>
          <w:trHeight w:val="240" w:hRule="atLeast"/>
          <w:jc w:val="center"/>
        </w:trPr>
        <w:tc>
          <w:tcPr>
            <w:tcW w:w="2102" w:type="dxa"/>
            <w:tcBorders>
              <w:top w:val="nil"/>
              <w:left w:val="single" w:color="auto" w:sz="4" w:space="0"/>
              <w:bottom w:val="single" w:color="auto" w:sz="4" w:space="0"/>
              <w:right w:val="single" w:color="auto" w:sz="4" w:space="0"/>
            </w:tcBorders>
            <w:vAlign w:val="center"/>
          </w:tcPr>
          <w:p>
            <w:pPr>
              <w:widowControl/>
              <w:jc w:val="left"/>
              <w:rPr>
                <w:rFonts w:hint="eastAsia" w:ascii="宋体" w:hAnsi="宋体" w:cs="宋体"/>
                <w:kern w:val="0"/>
                <w:sz w:val="20"/>
                <w:szCs w:val="20"/>
              </w:rPr>
            </w:pPr>
            <w:r>
              <w:rPr>
                <w:rFonts w:hint="eastAsia" w:ascii="宋体" w:hAnsi="宋体" w:cs="宋体"/>
                <w:kern w:val="0"/>
                <w:sz w:val="20"/>
                <w:szCs w:val="20"/>
              </w:rPr>
              <w:t>电池柜</w:t>
            </w:r>
          </w:p>
        </w:tc>
        <w:tc>
          <w:tcPr>
            <w:tcW w:w="2842" w:type="dxa"/>
            <w:tcBorders>
              <w:top w:val="single" w:color="auto" w:sz="4" w:space="0"/>
              <w:left w:val="nil"/>
              <w:bottom w:val="single" w:color="auto" w:sz="4" w:space="0"/>
              <w:right w:val="single" w:color="000000" w:sz="4" w:space="0"/>
            </w:tcBorders>
            <w:vAlign w:val="center"/>
          </w:tcPr>
          <w:p>
            <w:pPr>
              <w:widowControl/>
              <w:jc w:val="left"/>
              <w:rPr>
                <w:rFonts w:hint="eastAsia" w:ascii="宋体" w:hAnsi="宋体" w:cs="宋体"/>
                <w:kern w:val="0"/>
                <w:sz w:val="20"/>
                <w:szCs w:val="20"/>
              </w:rPr>
            </w:pPr>
            <w:r>
              <w:rPr>
                <w:rFonts w:hint="eastAsia" w:ascii="宋体" w:hAnsi="宋体" w:cs="宋体"/>
                <w:kern w:val="0"/>
                <w:sz w:val="20"/>
                <w:szCs w:val="20"/>
              </w:rPr>
              <w:t>满足现场用电需求；</w:t>
            </w:r>
          </w:p>
        </w:tc>
        <w:tc>
          <w:tcPr>
            <w:tcW w:w="604" w:type="dxa"/>
            <w:tcBorders>
              <w:top w:val="nil"/>
              <w:left w:val="nil"/>
              <w:bottom w:val="single" w:color="auto" w:sz="4" w:space="0"/>
              <w:right w:val="single" w:color="auto" w:sz="4" w:space="0"/>
            </w:tcBorders>
            <w:vAlign w:val="center"/>
          </w:tcPr>
          <w:p>
            <w:pPr>
              <w:widowControl/>
              <w:jc w:val="center"/>
              <w:rPr>
                <w:rFonts w:hint="eastAsia" w:ascii="宋体" w:hAnsi="宋体" w:cs="宋体"/>
                <w:kern w:val="0"/>
                <w:sz w:val="20"/>
                <w:szCs w:val="20"/>
              </w:rPr>
            </w:pPr>
            <w:r>
              <w:rPr>
                <w:rFonts w:hint="eastAsia" w:ascii="宋体" w:hAnsi="宋体" w:cs="宋体"/>
                <w:kern w:val="0"/>
                <w:sz w:val="20"/>
                <w:szCs w:val="20"/>
              </w:rPr>
              <w:t>2</w:t>
            </w:r>
          </w:p>
        </w:tc>
        <w:tc>
          <w:tcPr>
            <w:tcW w:w="604" w:type="dxa"/>
            <w:tcBorders>
              <w:top w:val="nil"/>
              <w:left w:val="nil"/>
              <w:bottom w:val="single" w:color="auto" w:sz="4" w:space="0"/>
              <w:right w:val="single" w:color="auto" w:sz="4" w:space="0"/>
            </w:tcBorders>
            <w:vAlign w:val="center"/>
          </w:tcPr>
          <w:p>
            <w:pPr>
              <w:widowControl/>
              <w:jc w:val="center"/>
              <w:rPr>
                <w:rFonts w:hint="eastAsia" w:ascii="宋体" w:hAnsi="宋体" w:cs="宋体"/>
                <w:kern w:val="0"/>
                <w:sz w:val="20"/>
                <w:szCs w:val="20"/>
              </w:rPr>
            </w:pPr>
            <w:r>
              <w:rPr>
                <w:rFonts w:hint="eastAsia" w:ascii="宋体" w:hAnsi="宋体" w:cs="宋体"/>
                <w:kern w:val="0"/>
                <w:sz w:val="20"/>
                <w:szCs w:val="20"/>
              </w:rPr>
              <w:t>台</w:t>
            </w:r>
          </w:p>
        </w:tc>
        <w:tc>
          <w:tcPr>
            <w:tcW w:w="2104" w:type="dxa"/>
            <w:tcBorders>
              <w:top w:val="nil"/>
              <w:left w:val="nil"/>
              <w:bottom w:val="single" w:color="auto" w:sz="4" w:space="0"/>
              <w:right w:val="single" w:color="auto" w:sz="4" w:space="0"/>
            </w:tcBorders>
            <w:vAlign w:val="center"/>
          </w:tcPr>
          <w:p>
            <w:pPr>
              <w:widowControl/>
              <w:jc w:val="left"/>
              <w:rPr>
                <w:rFonts w:hint="eastAsia" w:ascii="宋体" w:hAnsi="宋体" w:cs="宋体"/>
                <w:kern w:val="0"/>
                <w:sz w:val="20"/>
                <w:szCs w:val="20"/>
              </w:rPr>
            </w:pPr>
          </w:p>
        </w:tc>
      </w:tr>
      <w:tr>
        <w:tblPrEx>
          <w:tblLayout w:type="fixed"/>
          <w:tblCellMar>
            <w:top w:w="0" w:type="dxa"/>
            <w:left w:w="108" w:type="dxa"/>
            <w:bottom w:w="0" w:type="dxa"/>
            <w:right w:w="108" w:type="dxa"/>
          </w:tblCellMar>
        </w:tblPrEx>
        <w:trPr>
          <w:trHeight w:val="240" w:hRule="atLeast"/>
          <w:jc w:val="center"/>
        </w:trPr>
        <w:tc>
          <w:tcPr>
            <w:tcW w:w="2102" w:type="dxa"/>
            <w:tcBorders>
              <w:top w:val="nil"/>
              <w:left w:val="single" w:color="auto" w:sz="4" w:space="0"/>
              <w:bottom w:val="single" w:color="auto" w:sz="4" w:space="0"/>
              <w:right w:val="single" w:color="auto" w:sz="4" w:space="0"/>
            </w:tcBorders>
            <w:vAlign w:val="center"/>
          </w:tcPr>
          <w:p>
            <w:pPr>
              <w:widowControl/>
              <w:jc w:val="left"/>
              <w:rPr>
                <w:rFonts w:hint="eastAsia" w:ascii="宋体" w:hAnsi="宋体" w:cs="宋体"/>
                <w:kern w:val="0"/>
                <w:sz w:val="20"/>
                <w:szCs w:val="20"/>
              </w:rPr>
            </w:pPr>
            <w:r>
              <w:rPr>
                <w:rFonts w:hint="eastAsia" w:ascii="宋体" w:hAnsi="宋体" w:cs="宋体"/>
                <w:kern w:val="0"/>
                <w:sz w:val="20"/>
                <w:szCs w:val="20"/>
              </w:rPr>
              <w:t>辅材</w:t>
            </w:r>
          </w:p>
        </w:tc>
        <w:tc>
          <w:tcPr>
            <w:tcW w:w="2842" w:type="dxa"/>
            <w:tcBorders>
              <w:top w:val="single" w:color="auto" w:sz="4" w:space="0"/>
              <w:left w:val="nil"/>
              <w:bottom w:val="single" w:color="auto" w:sz="4" w:space="0"/>
              <w:right w:val="single" w:color="000000" w:sz="4" w:space="0"/>
            </w:tcBorders>
            <w:vAlign w:val="center"/>
          </w:tcPr>
          <w:p>
            <w:pPr>
              <w:widowControl/>
              <w:jc w:val="left"/>
              <w:rPr>
                <w:rFonts w:hint="eastAsia" w:ascii="宋体" w:hAnsi="宋体" w:cs="宋体"/>
                <w:kern w:val="0"/>
                <w:sz w:val="20"/>
                <w:szCs w:val="20"/>
              </w:rPr>
            </w:pPr>
            <w:r>
              <w:rPr>
                <w:rFonts w:hint="eastAsia" w:ascii="宋体" w:hAnsi="宋体" w:cs="宋体"/>
                <w:kern w:val="0"/>
                <w:sz w:val="20"/>
                <w:szCs w:val="20"/>
              </w:rPr>
              <w:t>含线缆、插座、配电柜、空开铜鼻等</w:t>
            </w:r>
          </w:p>
        </w:tc>
        <w:tc>
          <w:tcPr>
            <w:tcW w:w="604" w:type="dxa"/>
            <w:tcBorders>
              <w:top w:val="nil"/>
              <w:left w:val="nil"/>
              <w:bottom w:val="single" w:color="auto" w:sz="4" w:space="0"/>
              <w:right w:val="single" w:color="auto" w:sz="4" w:space="0"/>
            </w:tcBorders>
            <w:vAlign w:val="center"/>
          </w:tcPr>
          <w:p>
            <w:pPr>
              <w:widowControl/>
              <w:jc w:val="center"/>
              <w:rPr>
                <w:rFonts w:hint="eastAsia" w:ascii="宋体" w:hAnsi="宋体" w:cs="宋体"/>
                <w:kern w:val="0"/>
                <w:sz w:val="20"/>
                <w:szCs w:val="20"/>
              </w:rPr>
            </w:pPr>
            <w:r>
              <w:rPr>
                <w:rFonts w:hint="eastAsia" w:ascii="宋体" w:hAnsi="宋体" w:cs="宋体"/>
                <w:kern w:val="0"/>
                <w:sz w:val="20"/>
                <w:szCs w:val="20"/>
              </w:rPr>
              <w:t>1</w:t>
            </w:r>
          </w:p>
        </w:tc>
        <w:tc>
          <w:tcPr>
            <w:tcW w:w="604" w:type="dxa"/>
            <w:tcBorders>
              <w:top w:val="nil"/>
              <w:left w:val="nil"/>
              <w:bottom w:val="single" w:color="auto" w:sz="4" w:space="0"/>
              <w:right w:val="single" w:color="auto" w:sz="4" w:space="0"/>
            </w:tcBorders>
            <w:vAlign w:val="center"/>
          </w:tcPr>
          <w:p>
            <w:pPr>
              <w:widowControl/>
              <w:jc w:val="center"/>
              <w:rPr>
                <w:rFonts w:hint="eastAsia" w:ascii="宋体" w:hAnsi="宋体" w:cs="宋体"/>
                <w:kern w:val="0"/>
                <w:sz w:val="20"/>
                <w:szCs w:val="20"/>
              </w:rPr>
            </w:pPr>
            <w:r>
              <w:rPr>
                <w:rFonts w:hint="eastAsia" w:ascii="宋体" w:hAnsi="宋体" w:cs="宋体"/>
                <w:kern w:val="0"/>
                <w:sz w:val="20"/>
                <w:szCs w:val="20"/>
              </w:rPr>
              <w:t>批</w:t>
            </w:r>
          </w:p>
        </w:tc>
        <w:tc>
          <w:tcPr>
            <w:tcW w:w="2104" w:type="dxa"/>
            <w:tcBorders>
              <w:top w:val="nil"/>
              <w:left w:val="nil"/>
              <w:bottom w:val="single" w:color="auto" w:sz="4" w:space="0"/>
              <w:right w:val="single" w:color="auto" w:sz="4" w:space="0"/>
            </w:tcBorders>
            <w:vAlign w:val="center"/>
          </w:tcPr>
          <w:p>
            <w:pPr>
              <w:widowControl/>
              <w:jc w:val="left"/>
              <w:rPr>
                <w:rFonts w:hint="eastAsia" w:ascii="宋体" w:hAnsi="宋体" w:cs="宋体"/>
                <w:kern w:val="0"/>
                <w:sz w:val="20"/>
                <w:szCs w:val="20"/>
              </w:rPr>
            </w:pPr>
          </w:p>
        </w:tc>
      </w:tr>
      <w:tr>
        <w:tblPrEx>
          <w:tblLayout w:type="fixed"/>
          <w:tblCellMar>
            <w:top w:w="0" w:type="dxa"/>
            <w:left w:w="108" w:type="dxa"/>
            <w:bottom w:w="0" w:type="dxa"/>
            <w:right w:w="108" w:type="dxa"/>
          </w:tblCellMar>
        </w:tblPrEx>
        <w:trPr>
          <w:trHeight w:val="240" w:hRule="atLeast"/>
          <w:jc w:val="center"/>
        </w:trPr>
        <w:tc>
          <w:tcPr>
            <w:tcW w:w="2102" w:type="dxa"/>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机房空调3P</w:t>
            </w:r>
          </w:p>
        </w:tc>
        <w:tc>
          <w:tcPr>
            <w:tcW w:w="2842" w:type="dxa"/>
            <w:tcBorders>
              <w:top w:val="single" w:color="auto" w:sz="4" w:space="0"/>
              <w:left w:val="nil"/>
              <w:bottom w:val="single" w:color="auto"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机房专用，除湿、上通风</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3</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台</w:t>
            </w:r>
          </w:p>
        </w:tc>
        <w:tc>
          <w:tcPr>
            <w:tcW w:w="2104" w:type="dxa"/>
            <w:tcBorders>
              <w:top w:val="nil"/>
              <w:left w:val="nil"/>
              <w:bottom w:val="single" w:color="auto" w:sz="4" w:space="0"/>
              <w:right w:val="single" w:color="auto"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240" w:hRule="atLeast"/>
          <w:jc w:val="center"/>
        </w:trPr>
        <w:tc>
          <w:tcPr>
            <w:tcW w:w="2102" w:type="dxa"/>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机房静电地板</w:t>
            </w:r>
          </w:p>
        </w:tc>
        <w:tc>
          <w:tcPr>
            <w:tcW w:w="2842" w:type="dxa"/>
            <w:tcBorders>
              <w:top w:val="single" w:color="auto" w:sz="4" w:space="0"/>
              <w:left w:val="nil"/>
              <w:bottom w:val="single" w:color="auto" w:sz="4" w:space="0"/>
              <w:right w:val="single" w:color="000000"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机房专用60*60</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100</w:t>
            </w:r>
          </w:p>
        </w:tc>
        <w:tc>
          <w:tcPr>
            <w:tcW w:w="604" w:type="dxa"/>
            <w:tcBorders>
              <w:top w:val="nil"/>
              <w:left w:val="nil"/>
              <w:bottom w:val="single" w:color="auto" w:sz="4" w:space="0"/>
              <w:right w:val="single" w:color="auto" w:sz="4" w:space="0"/>
            </w:tcBorders>
            <w:vAlign w:val="center"/>
          </w:tcPr>
          <w:p>
            <w:pPr>
              <w:widowControl/>
              <w:jc w:val="center"/>
              <w:rPr>
                <w:rFonts w:ascii="宋体" w:hAnsi="宋体" w:cs="宋体"/>
                <w:kern w:val="0"/>
                <w:sz w:val="20"/>
                <w:szCs w:val="20"/>
              </w:rPr>
            </w:pPr>
            <w:r>
              <w:rPr>
                <w:rFonts w:hint="eastAsia" w:ascii="宋体" w:hAnsi="宋体" w:cs="宋体"/>
                <w:kern w:val="0"/>
                <w:sz w:val="20"/>
                <w:szCs w:val="20"/>
              </w:rPr>
              <w:t>平方</w:t>
            </w:r>
          </w:p>
        </w:tc>
        <w:tc>
          <w:tcPr>
            <w:tcW w:w="2104" w:type="dxa"/>
            <w:tcBorders>
              <w:top w:val="nil"/>
              <w:left w:val="nil"/>
              <w:bottom w:val="single" w:color="auto" w:sz="4" w:space="0"/>
              <w:right w:val="single" w:color="auto" w:sz="4" w:space="0"/>
            </w:tcBorders>
            <w:vAlign w:val="bottom"/>
          </w:tcPr>
          <w:p>
            <w:pPr>
              <w:widowControl/>
              <w:jc w:val="left"/>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240" w:hRule="atLeast"/>
          <w:jc w:val="center"/>
        </w:trPr>
        <w:tc>
          <w:tcPr>
            <w:tcW w:w="2102" w:type="dxa"/>
            <w:tcBorders>
              <w:top w:val="nil"/>
              <w:left w:val="single" w:color="auto" w:sz="4" w:space="0"/>
              <w:bottom w:val="single" w:color="auto" w:sz="4" w:space="0"/>
              <w:right w:val="single" w:color="auto" w:sz="4" w:space="0"/>
            </w:tcBorders>
            <w:vAlign w:val="bottom"/>
          </w:tcPr>
          <w:p>
            <w:pPr>
              <w:widowControl/>
              <w:jc w:val="left"/>
              <w:rPr>
                <w:rFonts w:hint="eastAsia" w:ascii="宋体" w:hAnsi="宋体" w:cs="宋体"/>
                <w:kern w:val="0"/>
                <w:sz w:val="20"/>
                <w:szCs w:val="20"/>
              </w:rPr>
            </w:pPr>
            <w:r>
              <w:rPr>
                <w:rFonts w:hint="eastAsia" w:ascii="宋体" w:hAnsi="宋体" w:cs="宋体"/>
                <w:kern w:val="0"/>
                <w:sz w:val="20"/>
                <w:szCs w:val="20"/>
              </w:rPr>
              <w:t>地板支架</w:t>
            </w:r>
          </w:p>
        </w:tc>
        <w:tc>
          <w:tcPr>
            <w:tcW w:w="2842" w:type="dxa"/>
            <w:tcBorders>
              <w:top w:val="single" w:color="auto" w:sz="4" w:space="0"/>
              <w:left w:val="nil"/>
              <w:bottom w:val="single" w:color="auto" w:sz="4" w:space="0"/>
              <w:right w:val="single" w:color="000000" w:sz="4" w:space="0"/>
            </w:tcBorders>
            <w:vAlign w:val="bottom"/>
          </w:tcPr>
          <w:p>
            <w:pPr>
              <w:widowControl/>
              <w:jc w:val="center"/>
              <w:rPr>
                <w:rFonts w:hint="eastAsia" w:ascii="宋体" w:hAnsi="宋体" w:cs="宋体"/>
                <w:kern w:val="0"/>
                <w:sz w:val="20"/>
                <w:szCs w:val="20"/>
              </w:rPr>
            </w:pPr>
            <w:r>
              <w:rPr>
                <w:rFonts w:hint="eastAsia" w:ascii="宋体" w:hAnsi="宋体" w:cs="宋体"/>
                <w:kern w:val="0"/>
                <w:sz w:val="20"/>
                <w:szCs w:val="20"/>
              </w:rPr>
              <w:t>满足现场需求；</w:t>
            </w:r>
          </w:p>
        </w:tc>
        <w:tc>
          <w:tcPr>
            <w:tcW w:w="604" w:type="dxa"/>
            <w:tcBorders>
              <w:top w:val="nil"/>
              <w:left w:val="nil"/>
              <w:bottom w:val="single" w:color="auto" w:sz="4" w:space="0"/>
              <w:right w:val="single" w:color="auto" w:sz="4" w:space="0"/>
            </w:tcBorders>
            <w:vAlign w:val="bottom"/>
          </w:tcPr>
          <w:p>
            <w:pPr>
              <w:widowControl/>
              <w:jc w:val="center"/>
              <w:rPr>
                <w:rFonts w:hint="eastAsia" w:ascii="宋体" w:hAnsi="宋体" w:cs="宋体"/>
                <w:kern w:val="0"/>
                <w:sz w:val="20"/>
                <w:szCs w:val="20"/>
              </w:rPr>
            </w:pPr>
            <w:r>
              <w:rPr>
                <w:rFonts w:hint="eastAsia" w:ascii="宋体" w:hAnsi="宋体" w:cs="宋体"/>
                <w:kern w:val="0"/>
                <w:sz w:val="20"/>
                <w:szCs w:val="20"/>
              </w:rPr>
              <w:t>4</w:t>
            </w:r>
          </w:p>
        </w:tc>
        <w:tc>
          <w:tcPr>
            <w:tcW w:w="604" w:type="dxa"/>
            <w:tcBorders>
              <w:top w:val="nil"/>
              <w:left w:val="nil"/>
              <w:bottom w:val="single" w:color="auto" w:sz="4" w:space="0"/>
              <w:right w:val="single" w:color="auto" w:sz="4" w:space="0"/>
            </w:tcBorders>
            <w:vAlign w:val="bottom"/>
          </w:tcPr>
          <w:p>
            <w:pPr>
              <w:widowControl/>
              <w:jc w:val="left"/>
              <w:rPr>
                <w:rFonts w:hint="eastAsia" w:ascii="宋体" w:hAnsi="宋体" w:cs="宋体"/>
                <w:kern w:val="0"/>
                <w:sz w:val="20"/>
                <w:szCs w:val="20"/>
              </w:rPr>
            </w:pPr>
            <w:r>
              <w:rPr>
                <w:rFonts w:hint="eastAsia" w:ascii="宋体" w:hAnsi="宋体" w:cs="宋体"/>
                <w:kern w:val="0"/>
                <w:sz w:val="20"/>
                <w:szCs w:val="20"/>
              </w:rPr>
              <w:t>批</w:t>
            </w:r>
          </w:p>
        </w:tc>
        <w:tc>
          <w:tcPr>
            <w:tcW w:w="2104" w:type="dxa"/>
            <w:tcBorders>
              <w:top w:val="nil"/>
              <w:left w:val="nil"/>
              <w:bottom w:val="single" w:color="auto" w:sz="4" w:space="0"/>
              <w:right w:val="single" w:color="auto" w:sz="4" w:space="0"/>
            </w:tcBorders>
            <w:vAlign w:val="bottom"/>
          </w:tcPr>
          <w:p>
            <w:pPr>
              <w:widowControl/>
              <w:jc w:val="left"/>
              <w:rPr>
                <w:rFonts w:hint="eastAsia" w:ascii="宋体" w:hAnsi="宋体" w:cs="宋体"/>
                <w:kern w:val="0"/>
                <w:sz w:val="20"/>
                <w:szCs w:val="20"/>
              </w:rPr>
            </w:pPr>
          </w:p>
        </w:tc>
      </w:tr>
      <w:tr>
        <w:tblPrEx>
          <w:tblLayout w:type="fixed"/>
          <w:tblCellMar>
            <w:top w:w="0" w:type="dxa"/>
            <w:left w:w="108" w:type="dxa"/>
            <w:bottom w:w="0" w:type="dxa"/>
            <w:right w:w="108" w:type="dxa"/>
          </w:tblCellMar>
        </w:tblPrEx>
        <w:trPr>
          <w:trHeight w:val="240" w:hRule="atLeast"/>
          <w:jc w:val="center"/>
        </w:trPr>
        <w:tc>
          <w:tcPr>
            <w:tcW w:w="2102" w:type="dxa"/>
            <w:tcBorders>
              <w:top w:val="nil"/>
              <w:left w:val="single" w:color="auto" w:sz="4" w:space="0"/>
              <w:bottom w:val="single" w:color="auto" w:sz="4" w:space="0"/>
              <w:right w:val="single" w:color="auto" w:sz="4" w:space="0"/>
            </w:tcBorders>
            <w:vAlign w:val="bottom"/>
          </w:tcPr>
          <w:p>
            <w:pPr>
              <w:widowControl/>
              <w:jc w:val="left"/>
              <w:rPr>
                <w:rFonts w:hint="eastAsia" w:ascii="宋体" w:hAnsi="宋体" w:cs="宋体"/>
                <w:kern w:val="0"/>
                <w:sz w:val="20"/>
                <w:szCs w:val="20"/>
              </w:rPr>
            </w:pPr>
            <w:r>
              <w:rPr>
                <w:rFonts w:hint="eastAsia" w:ascii="宋体" w:hAnsi="宋体" w:cs="宋体"/>
                <w:kern w:val="0"/>
                <w:sz w:val="20"/>
                <w:szCs w:val="20"/>
              </w:rPr>
              <w:t>辅材</w:t>
            </w:r>
          </w:p>
        </w:tc>
        <w:tc>
          <w:tcPr>
            <w:tcW w:w="2842" w:type="dxa"/>
            <w:tcBorders>
              <w:top w:val="single" w:color="auto" w:sz="4" w:space="0"/>
              <w:left w:val="nil"/>
              <w:bottom w:val="single" w:color="auto" w:sz="4" w:space="0"/>
              <w:right w:val="single" w:color="000000" w:sz="4" w:space="0"/>
            </w:tcBorders>
            <w:vAlign w:val="bottom"/>
          </w:tcPr>
          <w:p>
            <w:pPr>
              <w:widowControl/>
              <w:jc w:val="center"/>
              <w:rPr>
                <w:rFonts w:hint="eastAsia" w:ascii="宋体" w:hAnsi="宋体" w:cs="宋体"/>
                <w:kern w:val="0"/>
                <w:sz w:val="20"/>
                <w:szCs w:val="20"/>
              </w:rPr>
            </w:pPr>
            <w:r>
              <w:rPr>
                <w:rFonts w:hint="eastAsia" w:ascii="宋体" w:hAnsi="宋体" w:cs="宋体"/>
                <w:kern w:val="0"/>
                <w:sz w:val="20"/>
                <w:szCs w:val="20"/>
              </w:rPr>
              <w:t>防潮材料、接地铜排等</w:t>
            </w:r>
          </w:p>
        </w:tc>
        <w:tc>
          <w:tcPr>
            <w:tcW w:w="604" w:type="dxa"/>
            <w:tcBorders>
              <w:top w:val="nil"/>
              <w:left w:val="nil"/>
              <w:bottom w:val="single" w:color="auto" w:sz="4" w:space="0"/>
              <w:right w:val="single" w:color="auto" w:sz="4" w:space="0"/>
            </w:tcBorders>
            <w:vAlign w:val="bottom"/>
          </w:tcPr>
          <w:p>
            <w:pPr>
              <w:widowControl/>
              <w:jc w:val="center"/>
              <w:rPr>
                <w:rFonts w:hint="eastAsia" w:ascii="宋体" w:hAnsi="宋体" w:cs="宋体"/>
                <w:kern w:val="0"/>
                <w:sz w:val="20"/>
                <w:szCs w:val="20"/>
              </w:rPr>
            </w:pPr>
            <w:r>
              <w:rPr>
                <w:rFonts w:hint="eastAsia" w:ascii="宋体" w:hAnsi="宋体" w:cs="宋体"/>
                <w:kern w:val="0"/>
                <w:sz w:val="20"/>
                <w:szCs w:val="20"/>
              </w:rPr>
              <w:t>1</w:t>
            </w:r>
          </w:p>
        </w:tc>
        <w:tc>
          <w:tcPr>
            <w:tcW w:w="604" w:type="dxa"/>
            <w:tcBorders>
              <w:top w:val="nil"/>
              <w:left w:val="nil"/>
              <w:bottom w:val="single" w:color="auto" w:sz="4" w:space="0"/>
              <w:right w:val="single" w:color="auto" w:sz="4" w:space="0"/>
            </w:tcBorders>
            <w:vAlign w:val="bottom"/>
          </w:tcPr>
          <w:p>
            <w:pPr>
              <w:widowControl/>
              <w:jc w:val="left"/>
              <w:rPr>
                <w:rFonts w:hint="eastAsia" w:ascii="宋体" w:hAnsi="宋体" w:cs="宋体"/>
                <w:kern w:val="0"/>
                <w:sz w:val="20"/>
                <w:szCs w:val="20"/>
              </w:rPr>
            </w:pPr>
            <w:r>
              <w:rPr>
                <w:rFonts w:hint="eastAsia" w:ascii="宋体" w:hAnsi="宋体" w:cs="宋体"/>
                <w:kern w:val="0"/>
                <w:sz w:val="20"/>
                <w:szCs w:val="20"/>
              </w:rPr>
              <w:t>批</w:t>
            </w:r>
          </w:p>
        </w:tc>
        <w:tc>
          <w:tcPr>
            <w:tcW w:w="2104" w:type="dxa"/>
            <w:tcBorders>
              <w:top w:val="nil"/>
              <w:left w:val="nil"/>
              <w:bottom w:val="single" w:color="auto" w:sz="4" w:space="0"/>
              <w:right w:val="single" w:color="auto" w:sz="4" w:space="0"/>
            </w:tcBorders>
            <w:vAlign w:val="bottom"/>
          </w:tcPr>
          <w:p>
            <w:pPr>
              <w:widowControl/>
              <w:jc w:val="left"/>
              <w:rPr>
                <w:rFonts w:hint="eastAsia" w:ascii="宋体" w:hAnsi="宋体" w:cs="宋体"/>
                <w:kern w:val="0"/>
                <w:sz w:val="20"/>
                <w:szCs w:val="20"/>
              </w:rPr>
            </w:pPr>
          </w:p>
        </w:tc>
      </w:tr>
      <w:tr>
        <w:tblPrEx>
          <w:tblLayout w:type="fixed"/>
          <w:tblCellMar>
            <w:top w:w="0" w:type="dxa"/>
            <w:left w:w="108" w:type="dxa"/>
            <w:bottom w:w="0" w:type="dxa"/>
            <w:right w:w="108" w:type="dxa"/>
          </w:tblCellMar>
        </w:tblPrEx>
        <w:trPr>
          <w:trHeight w:val="240" w:hRule="atLeast"/>
          <w:jc w:val="center"/>
        </w:trPr>
        <w:tc>
          <w:tcPr>
            <w:tcW w:w="2102" w:type="dxa"/>
            <w:tcBorders>
              <w:top w:val="nil"/>
              <w:left w:val="single" w:color="auto" w:sz="4" w:space="0"/>
              <w:bottom w:val="single" w:color="auto" w:sz="4" w:space="0"/>
              <w:right w:val="single" w:color="auto" w:sz="4" w:space="0"/>
            </w:tcBorders>
            <w:vAlign w:val="bottom"/>
          </w:tcPr>
          <w:p>
            <w:pPr>
              <w:widowControl/>
              <w:jc w:val="left"/>
              <w:rPr>
                <w:rFonts w:ascii="宋体" w:hAnsi="宋体" w:cs="宋体"/>
                <w:kern w:val="0"/>
                <w:sz w:val="20"/>
                <w:szCs w:val="20"/>
              </w:rPr>
            </w:pPr>
            <w:r>
              <w:rPr>
                <w:rFonts w:hint="eastAsia" w:ascii="宋体" w:hAnsi="宋体" w:cs="宋体"/>
                <w:kern w:val="0"/>
                <w:sz w:val="20"/>
                <w:szCs w:val="20"/>
              </w:rPr>
              <w:t>网线</w:t>
            </w:r>
          </w:p>
        </w:tc>
        <w:tc>
          <w:tcPr>
            <w:tcW w:w="2842" w:type="dxa"/>
            <w:tcBorders>
              <w:top w:val="single" w:color="auto" w:sz="4" w:space="0"/>
              <w:left w:val="nil"/>
              <w:bottom w:val="single" w:color="auto" w:sz="4" w:space="0"/>
              <w:right w:val="single" w:color="000000" w:sz="4" w:space="0"/>
            </w:tcBorders>
            <w:vAlign w:val="bottom"/>
          </w:tcPr>
          <w:p>
            <w:pPr>
              <w:widowControl/>
              <w:jc w:val="center"/>
              <w:rPr>
                <w:rFonts w:ascii="宋体" w:hAnsi="宋体" w:cs="宋体"/>
                <w:kern w:val="0"/>
                <w:sz w:val="20"/>
                <w:szCs w:val="20"/>
              </w:rPr>
            </w:pPr>
            <w:r>
              <w:rPr>
                <w:rFonts w:hint="eastAsia" w:ascii="宋体" w:hAnsi="宋体" w:cs="宋体"/>
                <w:kern w:val="0"/>
                <w:sz w:val="20"/>
                <w:szCs w:val="20"/>
              </w:rPr>
              <w:t>六类</w:t>
            </w:r>
          </w:p>
        </w:tc>
        <w:tc>
          <w:tcPr>
            <w:tcW w:w="604" w:type="dxa"/>
            <w:tcBorders>
              <w:top w:val="nil"/>
              <w:left w:val="nil"/>
              <w:bottom w:val="single" w:color="auto" w:sz="4" w:space="0"/>
              <w:right w:val="single" w:color="auto" w:sz="4" w:space="0"/>
            </w:tcBorders>
            <w:vAlign w:val="bottom"/>
          </w:tcPr>
          <w:p>
            <w:pPr>
              <w:widowControl/>
              <w:jc w:val="center"/>
              <w:rPr>
                <w:rFonts w:ascii="宋体" w:hAnsi="宋体" w:cs="宋体"/>
                <w:kern w:val="0"/>
                <w:sz w:val="20"/>
                <w:szCs w:val="20"/>
              </w:rPr>
            </w:pPr>
            <w:r>
              <w:rPr>
                <w:rFonts w:hint="eastAsia" w:ascii="宋体" w:hAnsi="宋体" w:cs="宋体"/>
                <w:kern w:val="0"/>
                <w:sz w:val="20"/>
                <w:szCs w:val="20"/>
              </w:rPr>
              <w:t>10</w:t>
            </w:r>
          </w:p>
        </w:tc>
        <w:tc>
          <w:tcPr>
            <w:tcW w:w="604" w:type="dxa"/>
            <w:tcBorders>
              <w:top w:val="nil"/>
              <w:left w:val="nil"/>
              <w:bottom w:val="single" w:color="auto" w:sz="4" w:space="0"/>
              <w:right w:val="single" w:color="auto" w:sz="4" w:space="0"/>
            </w:tcBorders>
            <w:vAlign w:val="bottom"/>
          </w:tcPr>
          <w:p>
            <w:pPr>
              <w:widowControl/>
              <w:jc w:val="left"/>
              <w:rPr>
                <w:rFonts w:ascii="宋体" w:hAnsi="宋体" w:cs="宋体"/>
                <w:kern w:val="0"/>
                <w:sz w:val="20"/>
                <w:szCs w:val="20"/>
              </w:rPr>
            </w:pPr>
            <w:r>
              <w:rPr>
                <w:rFonts w:hint="eastAsia" w:ascii="宋体" w:hAnsi="宋体" w:cs="宋体"/>
                <w:kern w:val="0"/>
                <w:sz w:val="20"/>
                <w:szCs w:val="20"/>
              </w:rPr>
              <w:t>箱</w:t>
            </w:r>
          </w:p>
        </w:tc>
        <w:tc>
          <w:tcPr>
            <w:tcW w:w="2104" w:type="dxa"/>
            <w:tcBorders>
              <w:top w:val="nil"/>
              <w:left w:val="nil"/>
              <w:bottom w:val="single" w:color="auto" w:sz="4" w:space="0"/>
              <w:right w:val="single" w:color="auto" w:sz="4" w:space="0"/>
            </w:tcBorders>
            <w:vAlign w:val="bottom"/>
          </w:tcPr>
          <w:p>
            <w:pPr>
              <w:widowControl/>
              <w:jc w:val="left"/>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240" w:hRule="atLeast"/>
          <w:jc w:val="center"/>
        </w:trPr>
        <w:tc>
          <w:tcPr>
            <w:tcW w:w="2102" w:type="dxa"/>
            <w:tcBorders>
              <w:top w:val="nil"/>
              <w:left w:val="single" w:color="auto" w:sz="4" w:space="0"/>
              <w:bottom w:val="single" w:color="auto" w:sz="4" w:space="0"/>
              <w:right w:val="single" w:color="auto" w:sz="4" w:space="0"/>
            </w:tcBorders>
            <w:vAlign w:val="center"/>
          </w:tcPr>
          <w:p>
            <w:pPr>
              <w:widowControl/>
              <w:jc w:val="left"/>
              <w:rPr>
                <w:rFonts w:ascii="宋体" w:hAnsi="宋体" w:cs="宋体"/>
                <w:kern w:val="0"/>
                <w:sz w:val="20"/>
                <w:szCs w:val="20"/>
              </w:rPr>
            </w:pPr>
            <w:r>
              <w:rPr>
                <w:rFonts w:hint="eastAsia" w:ascii="宋体" w:hAnsi="宋体" w:cs="宋体"/>
                <w:kern w:val="0"/>
                <w:sz w:val="20"/>
                <w:szCs w:val="20"/>
              </w:rPr>
              <w:t>桥架</w:t>
            </w:r>
          </w:p>
        </w:tc>
        <w:tc>
          <w:tcPr>
            <w:tcW w:w="2842" w:type="dxa"/>
            <w:tcBorders>
              <w:top w:val="single" w:color="auto" w:sz="4" w:space="0"/>
              <w:left w:val="nil"/>
              <w:bottom w:val="single" w:color="auto" w:sz="4" w:space="0"/>
              <w:right w:val="single" w:color="000000" w:sz="4" w:space="0"/>
            </w:tcBorders>
            <w:vAlign w:val="bottom"/>
          </w:tcPr>
          <w:p>
            <w:pPr>
              <w:widowControl/>
              <w:jc w:val="center"/>
              <w:rPr>
                <w:rFonts w:ascii="宋体" w:hAnsi="宋体" w:cs="宋体"/>
                <w:kern w:val="0"/>
                <w:sz w:val="20"/>
                <w:szCs w:val="20"/>
              </w:rPr>
            </w:pPr>
            <w:r>
              <w:rPr>
                <w:rFonts w:hint="eastAsia" w:ascii="宋体" w:hAnsi="宋体" w:cs="宋体"/>
                <w:kern w:val="0"/>
                <w:sz w:val="20"/>
                <w:szCs w:val="20"/>
              </w:rPr>
              <w:t>弱电专用</w:t>
            </w:r>
          </w:p>
        </w:tc>
        <w:tc>
          <w:tcPr>
            <w:tcW w:w="604" w:type="dxa"/>
            <w:tcBorders>
              <w:top w:val="nil"/>
              <w:left w:val="nil"/>
              <w:bottom w:val="single" w:color="auto" w:sz="4" w:space="0"/>
              <w:right w:val="single" w:color="auto" w:sz="4" w:space="0"/>
            </w:tcBorders>
            <w:vAlign w:val="bottom"/>
          </w:tcPr>
          <w:p>
            <w:pPr>
              <w:widowControl/>
              <w:jc w:val="center"/>
              <w:rPr>
                <w:rFonts w:ascii="宋体" w:hAnsi="宋体" w:cs="宋体"/>
                <w:kern w:val="0"/>
                <w:sz w:val="20"/>
                <w:szCs w:val="20"/>
              </w:rPr>
            </w:pPr>
            <w:r>
              <w:rPr>
                <w:rFonts w:hint="eastAsia" w:ascii="宋体" w:hAnsi="宋体" w:cs="宋体"/>
                <w:kern w:val="0"/>
                <w:sz w:val="20"/>
                <w:szCs w:val="20"/>
              </w:rPr>
              <w:t>380</w:t>
            </w:r>
          </w:p>
        </w:tc>
        <w:tc>
          <w:tcPr>
            <w:tcW w:w="604" w:type="dxa"/>
            <w:tcBorders>
              <w:top w:val="nil"/>
              <w:left w:val="nil"/>
              <w:bottom w:val="single" w:color="auto" w:sz="4" w:space="0"/>
              <w:right w:val="single" w:color="auto" w:sz="4" w:space="0"/>
            </w:tcBorders>
            <w:vAlign w:val="bottom"/>
          </w:tcPr>
          <w:p>
            <w:pPr>
              <w:widowControl/>
              <w:jc w:val="left"/>
              <w:rPr>
                <w:rFonts w:ascii="宋体" w:hAnsi="宋体" w:cs="宋体"/>
                <w:kern w:val="0"/>
                <w:sz w:val="20"/>
                <w:szCs w:val="20"/>
              </w:rPr>
            </w:pPr>
            <w:r>
              <w:rPr>
                <w:rFonts w:hint="eastAsia" w:ascii="宋体" w:hAnsi="宋体" w:cs="宋体"/>
                <w:kern w:val="0"/>
                <w:sz w:val="20"/>
                <w:szCs w:val="20"/>
              </w:rPr>
              <w:t>米</w:t>
            </w:r>
          </w:p>
        </w:tc>
        <w:tc>
          <w:tcPr>
            <w:tcW w:w="2104" w:type="dxa"/>
            <w:tcBorders>
              <w:top w:val="nil"/>
              <w:left w:val="nil"/>
              <w:bottom w:val="single" w:color="auto" w:sz="4" w:space="0"/>
              <w:right w:val="single" w:color="auto" w:sz="4" w:space="0"/>
            </w:tcBorders>
            <w:vAlign w:val="bottom"/>
          </w:tcPr>
          <w:p>
            <w:pPr>
              <w:widowControl/>
              <w:jc w:val="left"/>
              <w:rPr>
                <w:rFonts w:ascii="宋体" w:hAnsi="宋体" w:cs="宋体"/>
                <w:kern w:val="0"/>
                <w:sz w:val="20"/>
                <w:szCs w:val="20"/>
              </w:rPr>
            </w:pPr>
            <w:r>
              <w:rPr>
                <w:rFonts w:hint="eastAsia" w:ascii="宋体" w:hAnsi="宋体" w:cs="宋体"/>
                <w:kern w:val="0"/>
                <w:sz w:val="20"/>
                <w:szCs w:val="20"/>
              </w:rPr>
              <w:t>　</w:t>
            </w:r>
          </w:p>
        </w:tc>
      </w:tr>
      <w:tr>
        <w:tblPrEx>
          <w:tblLayout w:type="fixed"/>
          <w:tblCellMar>
            <w:top w:w="0" w:type="dxa"/>
            <w:left w:w="108" w:type="dxa"/>
            <w:bottom w:w="0" w:type="dxa"/>
            <w:right w:w="108" w:type="dxa"/>
          </w:tblCellMar>
        </w:tblPrEx>
        <w:trPr>
          <w:trHeight w:val="240" w:hRule="atLeast"/>
          <w:jc w:val="center"/>
        </w:trPr>
        <w:tc>
          <w:tcPr>
            <w:tcW w:w="2102" w:type="dxa"/>
            <w:tcBorders>
              <w:top w:val="single" w:color="auto" w:sz="4" w:space="0"/>
              <w:left w:val="single" w:color="auto" w:sz="4" w:space="0"/>
              <w:bottom w:val="single" w:color="auto" w:sz="4" w:space="0"/>
              <w:right w:val="single" w:color="auto" w:sz="4" w:space="0"/>
            </w:tcBorders>
            <w:vAlign w:val="center"/>
          </w:tcPr>
          <w:p>
            <w:pPr>
              <w:widowControl/>
              <w:jc w:val="left"/>
              <w:rPr>
                <w:rFonts w:hint="eastAsia" w:ascii="宋体" w:hAnsi="宋体" w:cs="宋体"/>
                <w:kern w:val="0"/>
                <w:sz w:val="20"/>
                <w:szCs w:val="20"/>
              </w:rPr>
            </w:pPr>
            <w:r>
              <w:rPr>
                <w:rFonts w:hint="eastAsia" w:ascii="宋体" w:hAnsi="宋体" w:cs="宋体"/>
                <w:kern w:val="0"/>
                <w:sz w:val="20"/>
                <w:szCs w:val="20"/>
              </w:rPr>
              <w:t>系统集成</w:t>
            </w:r>
          </w:p>
        </w:tc>
        <w:tc>
          <w:tcPr>
            <w:tcW w:w="2842" w:type="dxa"/>
            <w:tcBorders>
              <w:top w:val="single" w:color="auto" w:sz="4" w:space="0"/>
              <w:left w:val="nil"/>
              <w:bottom w:val="single" w:color="auto" w:sz="4" w:space="0"/>
              <w:right w:val="single" w:color="000000" w:sz="4" w:space="0"/>
            </w:tcBorders>
            <w:vAlign w:val="bottom"/>
          </w:tcPr>
          <w:p>
            <w:pPr>
              <w:widowControl/>
              <w:jc w:val="center"/>
              <w:rPr>
                <w:rFonts w:hint="eastAsia" w:ascii="宋体" w:hAnsi="宋体" w:cs="宋体"/>
                <w:kern w:val="0"/>
                <w:sz w:val="20"/>
                <w:szCs w:val="20"/>
              </w:rPr>
            </w:pPr>
          </w:p>
        </w:tc>
        <w:tc>
          <w:tcPr>
            <w:tcW w:w="604" w:type="dxa"/>
            <w:tcBorders>
              <w:top w:val="single" w:color="auto" w:sz="4" w:space="0"/>
              <w:left w:val="nil"/>
              <w:bottom w:val="single" w:color="auto" w:sz="4" w:space="0"/>
              <w:right w:val="single" w:color="auto" w:sz="4" w:space="0"/>
            </w:tcBorders>
            <w:vAlign w:val="bottom"/>
          </w:tcPr>
          <w:p>
            <w:pPr>
              <w:widowControl/>
              <w:jc w:val="center"/>
              <w:rPr>
                <w:rFonts w:hint="eastAsia" w:ascii="宋体" w:hAnsi="宋体" w:cs="宋体"/>
                <w:kern w:val="0"/>
                <w:sz w:val="20"/>
                <w:szCs w:val="20"/>
              </w:rPr>
            </w:pPr>
            <w:r>
              <w:rPr>
                <w:rFonts w:hint="eastAsia" w:ascii="宋体" w:hAnsi="宋体" w:cs="宋体"/>
                <w:kern w:val="0"/>
                <w:sz w:val="20"/>
                <w:szCs w:val="20"/>
              </w:rPr>
              <w:t>1</w:t>
            </w:r>
          </w:p>
        </w:tc>
        <w:tc>
          <w:tcPr>
            <w:tcW w:w="604" w:type="dxa"/>
            <w:tcBorders>
              <w:top w:val="single" w:color="auto" w:sz="4" w:space="0"/>
              <w:left w:val="nil"/>
              <w:bottom w:val="single" w:color="auto" w:sz="4" w:space="0"/>
              <w:right w:val="single" w:color="auto" w:sz="4" w:space="0"/>
            </w:tcBorders>
            <w:vAlign w:val="bottom"/>
          </w:tcPr>
          <w:p>
            <w:pPr>
              <w:widowControl/>
              <w:jc w:val="left"/>
              <w:rPr>
                <w:rFonts w:hint="eastAsia" w:ascii="宋体" w:hAnsi="宋体" w:cs="宋体"/>
                <w:kern w:val="0"/>
                <w:sz w:val="20"/>
                <w:szCs w:val="20"/>
              </w:rPr>
            </w:pPr>
            <w:r>
              <w:rPr>
                <w:rFonts w:hint="eastAsia" w:ascii="宋体" w:hAnsi="宋体" w:cs="宋体"/>
                <w:kern w:val="0"/>
                <w:sz w:val="20"/>
                <w:szCs w:val="20"/>
              </w:rPr>
              <w:t>套</w:t>
            </w:r>
          </w:p>
        </w:tc>
        <w:tc>
          <w:tcPr>
            <w:tcW w:w="2104" w:type="dxa"/>
            <w:tcBorders>
              <w:top w:val="single" w:color="auto" w:sz="4" w:space="0"/>
              <w:left w:val="nil"/>
              <w:bottom w:val="single" w:color="auto" w:sz="4" w:space="0"/>
              <w:right w:val="single" w:color="auto" w:sz="4" w:space="0"/>
            </w:tcBorders>
            <w:vAlign w:val="bottom"/>
          </w:tcPr>
          <w:p>
            <w:pPr>
              <w:widowControl/>
              <w:jc w:val="left"/>
              <w:rPr>
                <w:rFonts w:hint="eastAsia" w:ascii="宋体" w:hAnsi="宋体" w:cs="宋体"/>
                <w:kern w:val="0"/>
                <w:sz w:val="20"/>
                <w:szCs w:val="20"/>
              </w:rPr>
            </w:pPr>
          </w:p>
        </w:tc>
      </w:tr>
    </w:tbl>
    <w:p>
      <w:pPr>
        <w:widowControl/>
        <w:shd w:val="clear" w:color="auto" w:fill="FFFFFF"/>
        <w:jc w:val="left"/>
        <w:rPr>
          <w:rFonts w:hint="eastAsia" w:ascii="宋体" w:hAnsi="宋体" w:cs="宋体"/>
          <w:kern w:val="0"/>
          <w:sz w:val="24"/>
          <w:shd w:val="clear" w:color="auto" w:fill="FFFFFF"/>
        </w:rPr>
      </w:pPr>
    </w:p>
    <w:p>
      <w:pPr>
        <w:spacing w:line="360" w:lineRule="auto"/>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Arial">
    <w:panose1 w:val="020B0604020202020204"/>
    <w:charset w:val="00"/>
    <w:family w:val="swiss"/>
    <w:pitch w:val="default"/>
    <w:sig w:usb0="E0002AFF" w:usb1="C0007843" w:usb2="00000009" w:usb3="00000000" w:csb0="400001FF" w:csb1="FFFF0000"/>
  </w:font>
  <w:font w:name="楷体_GB2312">
    <w:altName w:val="楷体"/>
    <w:panose1 w:val="02010609030101010101"/>
    <w:charset w:val="86"/>
    <w:family w:val="modern"/>
    <w:pitch w:val="default"/>
    <w:sig w:usb0="00000000" w:usb1="00000000" w:usb2="00000010" w:usb3="00000000" w:csb0="00040000" w:csb1="00000000"/>
  </w:font>
  <w:font w:name="Arial Unicode MS">
    <w:panose1 w:val="020B0604020202020204"/>
    <w:charset w:val="86"/>
    <w:family w:val="roman"/>
    <w:pitch w:val="default"/>
    <w:sig w:usb0="FFFFFFFF" w:usb1="E9FFFFFF" w:usb2="0000003F" w:usb3="00000000" w:csb0="603F01FF" w:csb1="FFFF0000"/>
  </w:font>
  <w:font w:name="仿宋_GB2312">
    <w:altName w:val="仿宋"/>
    <w:panose1 w:val="02010609030101010101"/>
    <w:charset w:val="86"/>
    <w:family w:val="modern"/>
    <w:pitch w:val="default"/>
    <w:sig w:usb0="00000000" w:usb1="00000000" w:usb2="00000010" w:usb3="00000000" w:csb0="00040000" w:csb1="00000000"/>
  </w:font>
  <w:font w:name="微软雅黑">
    <w:panose1 w:val="020B0503020204020204"/>
    <w:charset w:val="86"/>
    <w:family w:val="swiss"/>
    <w:pitch w:val="default"/>
    <w:sig w:usb0="80000287" w:usb1="280F3C52" w:usb2="00000016" w:usb3="00000000" w:csb0="0004001F" w:csb1="00000000"/>
  </w:font>
  <w:font w:name="Tahoma">
    <w:panose1 w:val="020B0604030504040204"/>
    <w:charset w:val="00"/>
    <w:family w:val="swiss"/>
    <w:pitch w:val="default"/>
    <w:sig w:usb0="E1002EFF" w:usb1="C000605B" w:usb2="00000029" w:usb3="00000000" w:csb0="200101FF" w:csb1="20280000"/>
  </w:font>
  <w:font w:name="新宋体">
    <w:panose1 w:val="02010609030101010101"/>
    <w:charset w:val="86"/>
    <w:family w:val="modern"/>
    <w:pitch w:val="default"/>
    <w:sig w:usb0="00000003" w:usb1="288F0000" w:usb2="00000006" w:usb3="00000000" w:csb0="00040001" w:csb1="00000000"/>
  </w:font>
  <w:font w:name="隶书">
    <w:panose1 w:val="0201050906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MS Mincho">
    <w:panose1 w:val="02020609040205080304"/>
    <w:charset w:val="80"/>
    <w:family w:val="roman"/>
    <w:pitch w:val="default"/>
    <w:sig w:usb0="E00002FF" w:usb1="6AC7FDFB" w:usb2="00000012" w:usb3="00000000" w:csb0="4002009F" w:csb1="DFD70000"/>
  </w:font>
  <w:font w:name="ﾋﾎﾌ・WinCharSetFFFF-H">
    <w:altName w:val="MS Mincho"/>
    <w:panose1 w:val="00000000000000000000"/>
    <w:charset w:val="80"/>
    <w:family w:val="auto"/>
    <w:pitch w:val="default"/>
    <w:sig w:usb0="00000000" w:usb1="00000000" w:usb2="00000010" w:usb3="00000000" w:csb0="00020000" w:csb1="00000000"/>
  </w:font>
  <w:font w:name="新宋体-WinCharSetFFFF-H">
    <w:altName w:val="宋体"/>
    <w:panose1 w:val="00000000000000000000"/>
    <w:charset w:val="86"/>
    <w:family w:val="auto"/>
    <w:pitch w:val="default"/>
    <w:sig w:usb0="00000000" w:usb1="00000000" w:usb2="00000010" w:usb3="00000000" w:csb0="00040000" w:csb1="00000000"/>
  </w:font>
  <w:font w:name="lucida Grande">
    <w:altName w:val="Times New Roman"/>
    <w:panose1 w:val="00000000000000000000"/>
    <w:charset w:val="00"/>
    <w:family w:val="roman"/>
    <w:pitch w:val="default"/>
    <w:sig w:usb0="00000000" w:usb1="00000000" w:usb2="00000000"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pPr>
                            <w:snapToGrid w:val="0"/>
                            <w:rPr>
                              <w:rFonts w:hint="eastAsia" w:eastAsia="宋体"/>
                              <w:sz w:val="18"/>
                              <w:lang w:eastAsia="zh-CN"/>
                            </w:rPr>
                          </w:pP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4</w:t>
                          </w:r>
                          <w:r>
                            <w:rPr>
                              <w:rFonts w:hint="eastAsia"/>
                              <w:sz w:val="18"/>
                              <w:lang w:eastAsia="zh-CN"/>
                            </w:rPr>
                            <w:fldChar w:fldCharType="end"/>
                          </w:r>
                        </w:p>
                      </w:txbxContent>
                    </wps:txbx>
                    <wps:bodyPr wrap="none" lIns="0" tIns="0" rIns="0" bIns="0" upright="0">
                      <a:spAutoFit/>
                    </wps:bodyPr>
                  </wps:wsp>
                </a:graphicData>
              </a:graphic>
            </wp:anchor>
          </w:drawing>
        </mc:Choice>
        <mc:Fallback>
          <w:pict>
            <v:shape id="文本框 1"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Ghp&#10;gkvTAAAABQEAAA8AAAAAAAAAAQAgAAAAIgAAAGRycy9kb3ducmV2LnhtbFBLAQIUABQAAAAIAIdO&#10;4kDPivKytgEAAFYDAAAOAAAAAAAAAAEAIAAAACIBAABkcnMvZTJvRG9jLnhtbFBLBQYAAAAABgAG&#10;AFkBAABKBQAAAAA=&#10;">
              <v:fill on="f" focussize="0,0"/>
              <v:stroke on="f" weight="1.25pt"/>
              <v:imagedata o:title=""/>
              <o:lock v:ext="edit" aspectratio="f"/>
              <v:textbox inset="0mm,0mm,0mm,0mm" style="mso-fit-shape-to-text:t;">
                <w:txbxContent>
                  <w:p>
                    <w:pPr>
                      <w:snapToGrid w:val="0"/>
                      <w:rPr>
                        <w:rFonts w:hint="eastAsia" w:eastAsia="宋体"/>
                        <w:sz w:val="18"/>
                        <w:lang w:eastAsia="zh-CN"/>
                      </w:rPr>
                    </w:pP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4</w:t>
                    </w:r>
                    <w:r>
                      <w:rPr>
                        <w:rFonts w:hint="eastAsia"/>
                        <w:sz w:val="18"/>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F473E6"/>
    <w:multiLevelType w:val="multilevel"/>
    <w:tmpl w:val="02F473E6"/>
    <w:lvl w:ilvl="0" w:tentative="0">
      <w:start w:val="1"/>
      <w:numFmt w:val="bullet"/>
      <w:lvlText w:val=""/>
      <w:lvlJc w:val="left"/>
      <w:pPr>
        <w:ind w:left="1280" w:hanging="720"/>
      </w:pPr>
      <w:rPr>
        <w:rFonts w:hint="default" w:ascii="Wingdings" w:hAnsi="Wingdings"/>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1">
    <w:nsid w:val="08EF5DA5"/>
    <w:multiLevelType w:val="multilevel"/>
    <w:tmpl w:val="08EF5DA5"/>
    <w:lvl w:ilvl="0" w:tentative="0">
      <w:start w:val="1"/>
      <w:numFmt w:val="bullet"/>
      <w:lvlText w:val=""/>
      <w:lvlJc w:val="left"/>
      <w:pPr>
        <w:ind w:left="1280" w:hanging="720"/>
      </w:pPr>
      <w:rPr>
        <w:rFonts w:hint="default" w:ascii="Wingdings" w:hAnsi="Wingdings"/>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2">
    <w:nsid w:val="17571905"/>
    <w:multiLevelType w:val="multilevel"/>
    <w:tmpl w:val="17571905"/>
    <w:lvl w:ilvl="0" w:tentative="0">
      <w:start w:val="1"/>
      <w:numFmt w:val="decimal"/>
      <w:lvlText w:val="(%1)"/>
      <w:lvlJc w:val="left"/>
      <w:pPr>
        <w:ind w:left="840" w:hanging="42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
    <w:nsid w:val="1B35022F"/>
    <w:multiLevelType w:val="multilevel"/>
    <w:tmpl w:val="1B35022F"/>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4">
    <w:nsid w:val="21556FBD"/>
    <w:multiLevelType w:val="multilevel"/>
    <w:tmpl w:val="21556FBD"/>
    <w:lvl w:ilvl="0" w:tentative="0">
      <w:start w:val="1"/>
      <w:numFmt w:val="decimal"/>
      <w:lvlText w:val="%1)"/>
      <w:lvlJc w:val="left"/>
      <w:pPr>
        <w:ind w:left="420" w:hanging="42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5">
    <w:nsid w:val="26B05777"/>
    <w:multiLevelType w:val="multilevel"/>
    <w:tmpl w:val="26B05777"/>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6">
    <w:nsid w:val="2BF753E9"/>
    <w:multiLevelType w:val="multilevel"/>
    <w:tmpl w:val="2BF753E9"/>
    <w:lvl w:ilvl="0" w:tentative="0">
      <w:start w:val="1"/>
      <w:numFmt w:val="bullet"/>
      <w:lvlText w:val=""/>
      <w:lvlJc w:val="left"/>
      <w:pPr>
        <w:ind w:left="360" w:hanging="360"/>
      </w:pPr>
      <w:rPr>
        <w:rFonts w:hint="default" w:ascii="Wingdings" w:hAnsi="Wingdings"/>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
    <w:nsid w:val="32830559"/>
    <w:multiLevelType w:val="multilevel"/>
    <w:tmpl w:val="32830559"/>
    <w:lvl w:ilvl="0" w:tentative="0">
      <w:start w:val="1"/>
      <w:numFmt w:val="bullet"/>
      <w:lvlText w:val=""/>
      <w:lvlJc w:val="left"/>
      <w:pPr>
        <w:ind w:left="1320" w:hanging="720"/>
      </w:pPr>
      <w:rPr>
        <w:rFonts w:hint="default" w:ascii="Wingdings" w:hAnsi="Wingdings"/>
      </w:rPr>
    </w:lvl>
    <w:lvl w:ilvl="1" w:tentative="0">
      <w:start w:val="1"/>
      <w:numFmt w:val="lowerLetter"/>
      <w:lvlText w:val="%2)"/>
      <w:lvlJc w:val="left"/>
      <w:pPr>
        <w:ind w:left="1440" w:hanging="420"/>
      </w:pPr>
    </w:lvl>
    <w:lvl w:ilvl="2" w:tentative="0">
      <w:start w:val="1"/>
      <w:numFmt w:val="lowerRoman"/>
      <w:lvlText w:val="%3."/>
      <w:lvlJc w:val="right"/>
      <w:pPr>
        <w:ind w:left="1860" w:hanging="420"/>
      </w:pPr>
    </w:lvl>
    <w:lvl w:ilvl="3" w:tentative="0">
      <w:start w:val="1"/>
      <w:numFmt w:val="decimal"/>
      <w:lvlText w:val="%4."/>
      <w:lvlJc w:val="left"/>
      <w:pPr>
        <w:ind w:left="2280" w:hanging="420"/>
      </w:pPr>
    </w:lvl>
    <w:lvl w:ilvl="4" w:tentative="0">
      <w:start w:val="1"/>
      <w:numFmt w:val="lowerLetter"/>
      <w:lvlText w:val="%5)"/>
      <w:lvlJc w:val="left"/>
      <w:pPr>
        <w:ind w:left="2700" w:hanging="420"/>
      </w:pPr>
    </w:lvl>
    <w:lvl w:ilvl="5" w:tentative="0">
      <w:start w:val="1"/>
      <w:numFmt w:val="lowerRoman"/>
      <w:lvlText w:val="%6."/>
      <w:lvlJc w:val="right"/>
      <w:pPr>
        <w:ind w:left="3120" w:hanging="420"/>
      </w:pPr>
    </w:lvl>
    <w:lvl w:ilvl="6" w:tentative="0">
      <w:start w:val="1"/>
      <w:numFmt w:val="decimal"/>
      <w:lvlText w:val="%7."/>
      <w:lvlJc w:val="left"/>
      <w:pPr>
        <w:ind w:left="3540" w:hanging="420"/>
      </w:pPr>
    </w:lvl>
    <w:lvl w:ilvl="7" w:tentative="0">
      <w:start w:val="1"/>
      <w:numFmt w:val="lowerLetter"/>
      <w:lvlText w:val="%8)"/>
      <w:lvlJc w:val="left"/>
      <w:pPr>
        <w:ind w:left="3960" w:hanging="420"/>
      </w:pPr>
    </w:lvl>
    <w:lvl w:ilvl="8" w:tentative="0">
      <w:start w:val="1"/>
      <w:numFmt w:val="lowerRoman"/>
      <w:lvlText w:val="%9."/>
      <w:lvlJc w:val="right"/>
      <w:pPr>
        <w:ind w:left="4380" w:hanging="420"/>
      </w:pPr>
    </w:lvl>
  </w:abstractNum>
  <w:abstractNum w:abstractNumId="8">
    <w:nsid w:val="363662FE"/>
    <w:multiLevelType w:val="multilevel"/>
    <w:tmpl w:val="363662FE"/>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9">
    <w:nsid w:val="3B363D98"/>
    <w:multiLevelType w:val="multilevel"/>
    <w:tmpl w:val="3B363D98"/>
    <w:lvl w:ilvl="0" w:tentative="0">
      <w:start w:val="1"/>
      <w:numFmt w:val="decimal"/>
      <w:suff w:val="space"/>
      <w:lvlText w:val="图%1."/>
      <w:lvlJc w:val="left"/>
      <w:pPr>
        <w:ind w:left="2263" w:hanging="420"/>
      </w:pPr>
      <w:rPr>
        <w:b w:val="0"/>
        <w:bCs w:val="0"/>
        <w:i w:val="0"/>
        <w:iCs w:val="0"/>
        <w:caps w:val="0"/>
        <w:smallCaps w:val="0"/>
        <w:strike w:val="0"/>
        <w:dstrike w:val="0"/>
        <w:vanish w:val="0"/>
        <w:spacing w:val="0"/>
        <w:position w:val="0"/>
        <w:u w:val="none"/>
        <w:vertAlign w:val="baseline"/>
      </w:rPr>
    </w:lvl>
    <w:lvl w:ilvl="1" w:tentative="0">
      <w:start w:val="1"/>
      <w:numFmt w:val="lowerLetter"/>
      <w:lvlText w:val="%2)"/>
      <w:lvlJc w:val="left"/>
      <w:pPr>
        <w:ind w:left="2683" w:hanging="420"/>
      </w:pPr>
    </w:lvl>
    <w:lvl w:ilvl="2" w:tentative="0">
      <w:start w:val="1"/>
      <w:numFmt w:val="lowerRoman"/>
      <w:lvlText w:val="%3."/>
      <w:lvlJc w:val="right"/>
      <w:pPr>
        <w:ind w:left="3103" w:hanging="420"/>
      </w:pPr>
    </w:lvl>
    <w:lvl w:ilvl="3" w:tentative="0">
      <w:start w:val="1"/>
      <w:numFmt w:val="decimal"/>
      <w:lvlText w:val="%4."/>
      <w:lvlJc w:val="left"/>
      <w:pPr>
        <w:ind w:left="3523" w:hanging="420"/>
      </w:pPr>
    </w:lvl>
    <w:lvl w:ilvl="4" w:tentative="0">
      <w:start w:val="1"/>
      <w:numFmt w:val="lowerLetter"/>
      <w:lvlText w:val="%5)"/>
      <w:lvlJc w:val="left"/>
      <w:pPr>
        <w:ind w:left="3943" w:hanging="420"/>
      </w:pPr>
    </w:lvl>
    <w:lvl w:ilvl="5" w:tentative="0">
      <w:start w:val="1"/>
      <w:numFmt w:val="lowerRoman"/>
      <w:lvlText w:val="%6."/>
      <w:lvlJc w:val="right"/>
      <w:pPr>
        <w:ind w:left="4363" w:hanging="420"/>
      </w:pPr>
    </w:lvl>
    <w:lvl w:ilvl="6" w:tentative="0">
      <w:start w:val="1"/>
      <w:numFmt w:val="decimal"/>
      <w:lvlText w:val="%7."/>
      <w:lvlJc w:val="left"/>
      <w:pPr>
        <w:ind w:left="4783" w:hanging="420"/>
      </w:pPr>
    </w:lvl>
    <w:lvl w:ilvl="7" w:tentative="0">
      <w:start w:val="1"/>
      <w:numFmt w:val="lowerLetter"/>
      <w:lvlText w:val="%8)"/>
      <w:lvlJc w:val="left"/>
      <w:pPr>
        <w:ind w:left="5203" w:hanging="420"/>
      </w:pPr>
    </w:lvl>
    <w:lvl w:ilvl="8" w:tentative="0">
      <w:start w:val="1"/>
      <w:numFmt w:val="lowerRoman"/>
      <w:lvlText w:val="%9."/>
      <w:lvlJc w:val="right"/>
      <w:pPr>
        <w:ind w:left="5623" w:hanging="420"/>
      </w:pPr>
    </w:lvl>
  </w:abstractNum>
  <w:abstractNum w:abstractNumId="10">
    <w:nsid w:val="3C7E5E9A"/>
    <w:multiLevelType w:val="multilevel"/>
    <w:tmpl w:val="3C7E5E9A"/>
    <w:lvl w:ilvl="0" w:tentative="0">
      <w:start w:val="1"/>
      <w:numFmt w:val="bullet"/>
      <w:lvlText w:val=""/>
      <w:lvlJc w:val="left"/>
      <w:pPr>
        <w:ind w:left="980" w:hanging="420"/>
      </w:pPr>
      <w:rPr>
        <w:rFonts w:hint="default" w:ascii="Wingdings" w:hAnsi="Wingdings"/>
      </w:rPr>
    </w:lvl>
    <w:lvl w:ilvl="1" w:tentative="0">
      <w:start w:val="1"/>
      <w:numFmt w:val="bullet"/>
      <w:lvlText w:val=""/>
      <w:lvlJc w:val="left"/>
      <w:pPr>
        <w:ind w:left="1400" w:hanging="420"/>
      </w:pPr>
      <w:rPr>
        <w:rFonts w:hint="default" w:ascii="Wingdings" w:hAnsi="Wingdings"/>
      </w:rPr>
    </w:lvl>
    <w:lvl w:ilvl="2" w:tentative="0">
      <w:start w:val="1"/>
      <w:numFmt w:val="bullet"/>
      <w:lvlText w:val=""/>
      <w:lvlJc w:val="left"/>
      <w:pPr>
        <w:ind w:left="1820" w:hanging="420"/>
      </w:pPr>
      <w:rPr>
        <w:rFonts w:hint="default" w:ascii="Wingdings" w:hAnsi="Wingdings"/>
      </w:rPr>
    </w:lvl>
    <w:lvl w:ilvl="3" w:tentative="0">
      <w:start w:val="1"/>
      <w:numFmt w:val="bullet"/>
      <w:lvlText w:val=""/>
      <w:lvlJc w:val="left"/>
      <w:pPr>
        <w:ind w:left="2240" w:hanging="420"/>
      </w:pPr>
      <w:rPr>
        <w:rFonts w:hint="default" w:ascii="Wingdings" w:hAnsi="Wingdings"/>
      </w:rPr>
    </w:lvl>
    <w:lvl w:ilvl="4" w:tentative="0">
      <w:start w:val="1"/>
      <w:numFmt w:val="bullet"/>
      <w:lvlText w:val=""/>
      <w:lvlJc w:val="left"/>
      <w:pPr>
        <w:ind w:left="2660" w:hanging="420"/>
      </w:pPr>
      <w:rPr>
        <w:rFonts w:hint="default" w:ascii="Wingdings" w:hAnsi="Wingdings"/>
      </w:rPr>
    </w:lvl>
    <w:lvl w:ilvl="5" w:tentative="0">
      <w:start w:val="1"/>
      <w:numFmt w:val="bullet"/>
      <w:lvlText w:val=""/>
      <w:lvlJc w:val="left"/>
      <w:pPr>
        <w:ind w:left="3080" w:hanging="420"/>
      </w:pPr>
      <w:rPr>
        <w:rFonts w:hint="default" w:ascii="Wingdings" w:hAnsi="Wingdings"/>
      </w:rPr>
    </w:lvl>
    <w:lvl w:ilvl="6" w:tentative="0">
      <w:start w:val="1"/>
      <w:numFmt w:val="bullet"/>
      <w:lvlText w:val=""/>
      <w:lvlJc w:val="left"/>
      <w:pPr>
        <w:ind w:left="3500" w:hanging="420"/>
      </w:pPr>
      <w:rPr>
        <w:rFonts w:hint="default" w:ascii="Wingdings" w:hAnsi="Wingdings"/>
      </w:rPr>
    </w:lvl>
    <w:lvl w:ilvl="7" w:tentative="0">
      <w:start w:val="1"/>
      <w:numFmt w:val="bullet"/>
      <w:lvlText w:val=""/>
      <w:lvlJc w:val="left"/>
      <w:pPr>
        <w:ind w:left="3920" w:hanging="420"/>
      </w:pPr>
      <w:rPr>
        <w:rFonts w:hint="default" w:ascii="Wingdings" w:hAnsi="Wingdings"/>
      </w:rPr>
    </w:lvl>
    <w:lvl w:ilvl="8" w:tentative="0">
      <w:start w:val="1"/>
      <w:numFmt w:val="bullet"/>
      <w:lvlText w:val=""/>
      <w:lvlJc w:val="left"/>
      <w:pPr>
        <w:ind w:left="4340" w:hanging="420"/>
      </w:pPr>
      <w:rPr>
        <w:rFonts w:hint="default" w:ascii="Wingdings" w:hAnsi="Wingdings"/>
      </w:rPr>
    </w:lvl>
  </w:abstractNum>
  <w:abstractNum w:abstractNumId="11">
    <w:nsid w:val="3FF00BB6"/>
    <w:multiLevelType w:val="multilevel"/>
    <w:tmpl w:val="3FF00BB6"/>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2">
    <w:nsid w:val="44703DE3"/>
    <w:multiLevelType w:val="multilevel"/>
    <w:tmpl w:val="44703DE3"/>
    <w:lvl w:ilvl="0" w:tentative="0">
      <w:start w:val="6"/>
      <w:numFmt w:val="decimal"/>
      <w:lvlText w:val="%1."/>
      <w:lvlJc w:val="left"/>
      <w:pPr>
        <w:ind w:left="690" w:hanging="690"/>
      </w:pPr>
      <w:rPr>
        <w:rFonts w:hint="default"/>
      </w:rPr>
    </w:lvl>
    <w:lvl w:ilvl="1" w:tentative="0">
      <w:start w:val="1"/>
      <w:numFmt w:val="bullet"/>
      <w:lvlText w:val=""/>
      <w:lvlJc w:val="left"/>
      <w:pPr>
        <w:ind w:left="1280" w:hanging="720"/>
      </w:pPr>
      <w:rPr>
        <w:rFonts w:hint="default" w:ascii="Wingdings" w:hAnsi="Wingdings"/>
      </w:rPr>
    </w:lvl>
    <w:lvl w:ilvl="2" w:tentative="0">
      <w:start w:val="1"/>
      <w:numFmt w:val="decimal"/>
      <w:lvlText w:val="%1.%2）%3."/>
      <w:lvlJc w:val="left"/>
      <w:pPr>
        <w:ind w:left="2200" w:hanging="1080"/>
      </w:pPr>
      <w:rPr>
        <w:rFonts w:hint="default"/>
      </w:rPr>
    </w:lvl>
    <w:lvl w:ilvl="3" w:tentative="0">
      <w:start w:val="1"/>
      <w:numFmt w:val="decimal"/>
      <w:lvlText w:val="%1.%2）%3.%4."/>
      <w:lvlJc w:val="left"/>
      <w:pPr>
        <w:ind w:left="3120" w:hanging="1440"/>
      </w:pPr>
      <w:rPr>
        <w:rFonts w:hint="default"/>
      </w:rPr>
    </w:lvl>
    <w:lvl w:ilvl="4" w:tentative="0">
      <w:start w:val="1"/>
      <w:numFmt w:val="decimal"/>
      <w:lvlText w:val="%1.%2）%3.%4.%5."/>
      <w:lvlJc w:val="left"/>
      <w:pPr>
        <w:ind w:left="3680" w:hanging="1440"/>
      </w:pPr>
      <w:rPr>
        <w:rFonts w:hint="default"/>
      </w:rPr>
    </w:lvl>
    <w:lvl w:ilvl="5" w:tentative="0">
      <w:start w:val="1"/>
      <w:numFmt w:val="decimal"/>
      <w:lvlText w:val="%1.%2）%3.%4.%5.%6."/>
      <w:lvlJc w:val="left"/>
      <w:pPr>
        <w:ind w:left="4600" w:hanging="1800"/>
      </w:pPr>
      <w:rPr>
        <w:rFonts w:hint="default"/>
      </w:rPr>
    </w:lvl>
    <w:lvl w:ilvl="6" w:tentative="0">
      <w:start w:val="1"/>
      <w:numFmt w:val="decimal"/>
      <w:lvlText w:val="%1.%2）%3.%4.%5.%6.%7."/>
      <w:lvlJc w:val="left"/>
      <w:pPr>
        <w:ind w:left="5520" w:hanging="2160"/>
      </w:pPr>
      <w:rPr>
        <w:rFonts w:hint="default"/>
      </w:rPr>
    </w:lvl>
    <w:lvl w:ilvl="7" w:tentative="0">
      <w:start w:val="1"/>
      <w:numFmt w:val="decimal"/>
      <w:lvlText w:val="%1.%2）%3.%4.%5.%6.%7.%8."/>
      <w:lvlJc w:val="left"/>
      <w:pPr>
        <w:ind w:left="6080" w:hanging="2160"/>
      </w:pPr>
      <w:rPr>
        <w:rFonts w:hint="default"/>
      </w:rPr>
    </w:lvl>
    <w:lvl w:ilvl="8" w:tentative="0">
      <w:start w:val="1"/>
      <w:numFmt w:val="decimal"/>
      <w:lvlText w:val="%1.%2）%3.%4.%5.%6.%7.%8.%9."/>
      <w:lvlJc w:val="left"/>
      <w:pPr>
        <w:ind w:left="7000" w:hanging="2520"/>
      </w:pPr>
      <w:rPr>
        <w:rFonts w:hint="default"/>
      </w:rPr>
    </w:lvl>
  </w:abstractNum>
  <w:abstractNum w:abstractNumId="13">
    <w:nsid w:val="46B958E4"/>
    <w:multiLevelType w:val="multilevel"/>
    <w:tmpl w:val="46B958E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4">
    <w:nsid w:val="47316778"/>
    <w:multiLevelType w:val="multilevel"/>
    <w:tmpl w:val="47316778"/>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5">
    <w:nsid w:val="479A30A3"/>
    <w:multiLevelType w:val="multilevel"/>
    <w:tmpl w:val="479A30A3"/>
    <w:lvl w:ilvl="0" w:tentative="0">
      <w:start w:val="1"/>
      <w:numFmt w:val="decimal"/>
      <w:lvlText w:val="%1)"/>
      <w:lvlJc w:val="left"/>
      <w:pPr>
        <w:ind w:left="420" w:hanging="42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6">
    <w:nsid w:val="493B2DED"/>
    <w:multiLevelType w:val="multilevel"/>
    <w:tmpl w:val="493B2DED"/>
    <w:lvl w:ilvl="0" w:tentative="0">
      <w:start w:val="1"/>
      <w:numFmt w:val="decimal"/>
      <w:lvlText w:val="(%1)"/>
      <w:lvlJc w:val="left"/>
      <w:pPr>
        <w:ind w:left="840" w:hanging="420"/>
      </w:pPr>
      <w:rPr>
        <w:rFonts w:hint="eastAsia"/>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7">
    <w:nsid w:val="506165EC"/>
    <w:multiLevelType w:val="multilevel"/>
    <w:tmpl w:val="506165EC"/>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8">
    <w:nsid w:val="51585279"/>
    <w:multiLevelType w:val="multilevel"/>
    <w:tmpl w:val="51585279"/>
    <w:lvl w:ilvl="0" w:tentative="0">
      <w:start w:val="1"/>
      <w:numFmt w:val="bullet"/>
      <w:lvlText w:val=""/>
      <w:lvlJc w:val="left"/>
      <w:pPr>
        <w:ind w:left="900" w:hanging="420"/>
      </w:pPr>
      <w:rPr>
        <w:rFonts w:hint="default" w:ascii="Wingdings" w:hAnsi="Wingdings"/>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9">
    <w:nsid w:val="553F270F"/>
    <w:multiLevelType w:val="singleLevel"/>
    <w:tmpl w:val="553F270F"/>
    <w:lvl w:ilvl="0" w:tentative="0">
      <w:start w:val="3"/>
      <w:numFmt w:val="decimal"/>
      <w:suff w:val="nothing"/>
      <w:lvlText w:val="（%1）"/>
      <w:lvlJc w:val="left"/>
    </w:lvl>
  </w:abstractNum>
  <w:abstractNum w:abstractNumId="20">
    <w:nsid w:val="566D567A"/>
    <w:multiLevelType w:val="multilevel"/>
    <w:tmpl w:val="566D567A"/>
    <w:lvl w:ilvl="0" w:tentative="0">
      <w:start w:val="1"/>
      <w:numFmt w:val="bullet"/>
      <w:lvlText w:val=""/>
      <w:lvlJc w:val="left"/>
      <w:pPr>
        <w:ind w:left="1220" w:hanging="420"/>
      </w:pPr>
      <w:rPr>
        <w:rFonts w:hint="default" w:ascii="Wingdings" w:hAnsi="Wingdings"/>
      </w:rPr>
    </w:lvl>
    <w:lvl w:ilvl="1" w:tentative="0">
      <w:start w:val="1"/>
      <w:numFmt w:val="bullet"/>
      <w:lvlText w:val=""/>
      <w:lvlJc w:val="left"/>
      <w:pPr>
        <w:ind w:left="1640" w:hanging="420"/>
      </w:pPr>
      <w:rPr>
        <w:rFonts w:hint="default" w:ascii="Wingdings" w:hAnsi="Wingdings"/>
      </w:rPr>
    </w:lvl>
    <w:lvl w:ilvl="2" w:tentative="0">
      <w:start w:val="1"/>
      <w:numFmt w:val="bullet"/>
      <w:lvlText w:val=""/>
      <w:lvlJc w:val="left"/>
      <w:pPr>
        <w:ind w:left="2060" w:hanging="420"/>
      </w:pPr>
      <w:rPr>
        <w:rFonts w:hint="default" w:ascii="Wingdings" w:hAnsi="Wingdings"/>
      </w:rPr>
    </w:lvl>
    <w:lvl w:ilvl="3" w:tentative="0">
      <w:start w:val="1"/>
      <w:numFmt w:val="bullet"/>
      <w:lvlText w:val=""/>
      <w:lvlJc w:val="left"/>
      <w:pPr>
        <w:ind w:left="2480" w:hanging="420"/>
      </w:pPr>
      <w:rPr>
        <w:rFonts w:hint="default" w:ascii="Wingdings" w:hAnsi="Wingdings"/>
      </w:rPr>
    </w:lvl>
    <w:lvl w:ilvl="4" w:tentative="0">
      <w:start w:val="1"/>
      <w:numFmt w:val="bullet"/>
      <w:lvlText w:val=""/>
      <w:lvlJc w:val="left"/>
      <w:pPr>
        <w:ind w:left="2900" w:hanging="420"/>
      </w:pPr>
      <w:rPr>
        <w:rFonts w:hint="default" w:ascii="Wingdings" w:hAnsi="Wingdings"/>
      </w:rPr>
    </w:lvl>
    <w:lvl w:ilvl="5" w:tentative="0">
      <w:start w:val="1"/>
      <w:numFmt w:val="bullet"/>
      <w:lvlText w:val=""/>
      <w:lvlJc w:val="left"/>
      <w:pPr>
        <w:ind w:left="3320" w:hanging="420"/>
      </w:pPr>
      <w:rPr>
        <w:rFonts w:hint="default" w:ascii="Wingdings" w:hAnsi="Wingdings"/>
      </w:rPr>
    </w:lvl>
    <w:lvl w:ilvl="6" w:tentative="0">
      <w:start w:val="1"/>
      <w:numFmt w:val="bullet"/>
      <w:lvlText w:val=""/>
      <w:lvlJc w:val="left"/>
      <w:pPr>
        <w:ind w:left="3740" w:hanging="420"/>
      </w:pPr>
      <w:rPr>
        <w:rFonts w:hint="default" w:ascii="Wingdings" w:hAnsi="Wingdings"/>
      </w:rPr>
    </w:lvl>
    <w:lvl w:ilvl="7" w:tentative="0">
      <w:start w:val="1"/>
      <w:numFmt w:val="bullet"/>
      <w:lvlText w:val=""/>
      <w:lvlJc w:val="left"/>
      <w:pPr>
        <w:ind w:left="4160" w:hanging="420"/>
      </w:pPr>
      <w:rPr>
        <w:rFonts w:hint="default" w:ascii="Wingdings" w:hAnsi="Wingdings"/>
      </w:rPr>
    </w:lvl>
    <w:lvl w:ilvl="8" w:tentative="0">
      <w:start w:val="1"/>
      <w:numFmt w:val="bullet"/>
      <w:lvlText w:val=""/>
      <w:lvlJc w:val="left"/>
      <w:pPr>
        <w:ind w:left="4580" w:hanging="420"/>
      </w:pPr>
      <w:rPr>
        <w:rFonts w:hint="default" w:ascii="Wingdings" w:hAnsi="Wingdings"/>
      </w:rPr>
    </w:lvl>
  </w:abstractNum>
  <w:abstractNum w:abstractNumId="21">
    <w:nsid w:val="56F4D596"/>
    <w:multiLevelType w:val="multilevel"/>
    <w:tmpl w:val="56F4D596"/>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2">
    <w:nsid w:val="56F4D5B7"/>
    <w:multiLevelType w:val="multilevel"/>
    <w:tmpl w:val="56F4D5B7"/>
    <w:lvl w:ilvl="0" w:tentative="0">
      <w:start w:val="1"/>
      <w:numFmt w:val="bullet"/>
      <w:lvlText w:val=""/>
      <w:lvlJc w:val="left"/>
      <w:pPr>
        <w:ind w:left="1260" w:hanging="420"/>
      </w:pPr>
      <w:rPr>
        <w:rFonts w:hint="default" w:ascii="Wingdings" w:hAnsi="Wingdings"/>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3">
    <w:nsid w:val="56F4D5C2"/>
    <w:multiLevelType w:val="multilevel"/>
    <w:tmpl w:val="56F4D5C2"/>
    <w:lvl w:ilvl="0" w:tentative="0">
      <w:start w:val="1"/>
      <w:numFmt w:val="bullet"/>
      <w:lvlText w:val=""/>
      <w:lvlJc w:val="left"/>
      <w:pPr>
        <w:ind w:left="924" w:hanging="420"/>
      </w:pPr>
      <w:rPr>
        <w:rFonts w:hint="default" w:ascii="Wingdings" w:hAnsi="Wingdings"/>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4">
    <w:nsid w:val="56F4D5F9"/>
    <w:multiLevelType w:val="multilevel"/>
    <w:tmpl w:val="56F4D5F9"/>
    <w:lvl w:ilvl="0" w:tentative="0">
      <w:start w:val="1"/>
      <w:numFmt w:val="bullet"/>
      <w:lvlText w:val=""/>
      <w:lvlJc w:val="left"/>
      <w:pPr>
        <w:ind w:left="900" w:hanging="420"/>
      </w:pPr>
      <w:rPr>
        <w:rFonts w:hint="default" w:ascii="Wingdings" w:hAnsi="Wingdings"/>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5">
    <w:nsid w:val="56F4EAD2"/>
    <w:multiLevelType w:val="multilevel"/>
    <w:tmpl w:val="56F4EAD2"/>
    <w:lvl w:ilvl="0" w:tentative="0">
      <w:start w:val="1"/>
      <w:numFmt w:val="decimal"/>
      <w:lvlText w:val="%1)"/>
      <w:lvlJc w:val="left"/>
      <w:pPr>
        <w:ind w:left="840" w:hanging="42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6">
    <w:nsid w:val="56F4EADD"/>
    <w:multiLevelType w:val="multilevel"/>
    <w:tmpl w:val="56F4EADD"/>
    <w:lvl w:ilvl="0" w:tentative="0">
      <w:start w:val="1"/>
      <w:numFmt w:val="decimal"/>
      <w:lvlText w:val="%1)"/>
      <w:lvlJc w:val="left"/>
      <w:pPr>
        <w:ind w:left="840" w:hanging="42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7">
    <w:nsid w:val="56F4EAE8"/>
    <w:multiLevelType w:val="multilevel"/>
    <w:tmpl w:val="56F4EAE8"/>
    <w:lvl w:ilvl="0" w:tentative="0">
      <w:start w:val="1"/>
      <w:numFmt w:val="decimal"/>
      <w:lvlText w:val="%1)"/>
      <w:lvlJc w:val="left"/>
      <w:pPr>
        <w:ind w:left="840" w:hanging="42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8">
    <w:nsid w:val="56F4EAF3"/>
    <w:multiLevelType w:val="multilevel"/>
    <w:tmpl w:val="56F4EAF3"/>
    <w:lvl w:ilvl="0" w:tentative="0">
      <w:start w:val="1"/>
      <w:numFmt w:val="decimal"/>
      <w:lvlText w:val="%1)"/>
      <w:lvlJc w:val="left"/>
      <w:pPr>
        <w:ind w:left="840" w:hanging="42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9">
    <w:nsid w:val="56F4EAFE"/>
    <w:multiLevelType w:val="multilevel"/>
    <w:tmpl w:val="56F4EAFE"/>
    <w:lvl w:ilvl="0" w:tentative="0">
      <w:start w:val="1"/>
      <w:numFmt w:val="decimal"/>
      <w:lvlText w:val="(%1)"/>
      <w:lvlJc w:val="left"/>
      <w:pPr>
        <w:ind w:left="840" w:hanging="42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0">
    <w:nsid w:val="56F4EB09"/>
    <w:multiLevelType w:val="multilevel"/>
    <w:tmpl w:val="56F4EB09"/>
    <w:lvl w:ilvl="0" w:tentative="0">
      <w:start w:val="1"/>
      <w:numFmt w:val="decimal"/>
      <w:lvlText w:val="(%1)"/>
      <w:lvlJc w:val="left"/>
      <w:pPr>
        <w:ind w:left="840" w:hanging="42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1">
    <w:nsid w:val="656D6133"/>
    <w:multiLevelType w:val="multilevel"/>
    <w:tmpl w:val="656D6133"/>
    <w:lvl w:ilvl="0" w:tentative="0">
      <w:start w:val="1"/>
      <w:numFmt w:val="chineseCountingThousand"/>
      <w:pStyle w:val="2"/>
      <w:suff w:val="nothing"/>
      <w:lvlText w:val="第%1部分"/>
      <w:lvlJc w:val="center"/>
      <w:pPr>
        <w:ind w:left="0" w:firstLine="288"/>
      </w:pPr>
      <w:rPr>
        <w:rFonts w:hint="eastAsia"/>
        <w:sz w:val="28"/>
        <w:szCs w:val="28"/>
      </w:rPr>
    </w:lvl>
    <w:lvl w:ilvl="1" w:tentative="0">
      <w:start w:val="1"/>
      <w:numFmt w:val="chineseCountingThousand"/>
      <w:pStyle w:val="3"/>
      <w:suff w:val="nothing"/>
      <w:lvlText w:val="%2、"/>
      <w:lvlJc w:val="left"/>
      <w:pPr>
        <w:ind w:left="180" w:firstLine="0"/>
      </w:pPr>
      <w:rPr>
        <w:rFonts w:hint="eastAsia"/>
      </w:rPr>
    </w:lvl>
    <w:lvl w:ilvl="2" w:tentative="0">
      <w:start w:val="1"/>
      <w:numFmt w:val="chineseCountingThousand"/>
      <w:pStyle w:val="4"/>
      <w:suff w:val="nothing"/>
      <w:lvlText w:val="(%3)"/>
      <w:lvlJc w:val="left"/>
      <w:pPr>
        <w:ind w:left="0" w:firstLine="0"/>
      </w:pPr>
      <w:rPr>
        <w:rFonts w:hint="eastAsia"/>
      </w:rPr>
    </w:lvl>
    <w:lvl w:ilvl="3" w:tentative="0">
      <w:start w:val="1"/>
      <w:numFmt w:val="decimal"/>
      <w:suff w:val="nothing"/>
      <w:lvlText w:val="%4、"/>
      <w:lvlJc w:val="left"/>
      <w:pPr>
        <w:ind w:left="0" w:firstLine="0"/>
      </w:pPr>
      <w:rPr>
        <w:rFonts w:hint="eastAsia"/>
      </w:rPr>
    </w:lvl>
    <w:lvl w:ilvl="4" w:tentative="0">
      <w:start w:val="1"/>
      <w:numFmt w:val="upperLetter"/>
      <w:suff w:val="nothing"/>
      <w:lvlText w:val="%5、"/>
      <w:lvlJc w:val="left"/>
      <w:pPr>
        <w:ind w:left="0" w:firstLine="0"/>
      </w:pPr>
      <w:rPr>
        <w:rFonts w:hint="eastAsia"/>
      </w:rPr>
    </w:lvl>
    <w:lvl w:ilvl="5" w:tentative="0">
      <w:start w:val="1"/>
      <w:numFmt w:val="none"/>
      <w:suff w:val="nothing"/>
      <w:lvlText w:val=""/>
      <w:lvlJc w:val="left"/>
      <w:pPr>
        <w:ind w:left="0" w:firstLine="0"/>
      </w:pPr>
      <w:rPr>
        <w:rFonts w:hint="eastAsia"/>
      </w:rPr>
    </w:lvl>
    <w:lvl w:ilvl="6" w:tentative="0">
      <w:start w:val="1"/>
      <w:numFmt w:val="none"/>
      <w:suff w:val="nothing"/>
      <w:lvlText w:val=""/>
      <w:lvlJc w:val="left"/>
      <w:pPr>
        <w:ind w:left="0" w:firstLine="0"/>
      </w:pPr>
      <w:rPr>
        <w:rFonts w:hint="eastAsia"/>
      </w:rPr>
    </w:lvl>
    <w:lvl w:ilvl="7" w:tentative="0">
      <w:start w:val="1"/>
      <w:numFmt w:val="none"/>
      <w:suff w:val="nothing"/>
      <w:lvlText w:val=""/>
      <w:lvlJc w:val="left"/>
      <w:pPr>
        <w:ind w:left="0" w:firstLine="0"/>
      </w:pPr>
      <w:rPr>
        <w:rFonts w:hint="eastAsia"/>
      </w:rPr>
    </w:lvl>
    <w:lvl w:ilvl="8" w:tentative="0">
      <w:start w:val="1"/>
      <w:numFmt w:val="none"/>
      <w:suff w:val="nothing"/>
      <w:lvlText w:val=""/>
      <w:lvlJc w:val="left"/>
      <w:pPr>
        <w:ind w:left="0" w:firstLine="0"/>
      </w:pPr>
      <w:rPr>
        <w:rFonts w:hint="eastAsia"/>
      </w:rPr>
    </w:lvl>
  </w:abstractNum>
  <w:abstractNum w:abstractNumId="32">
    <w:nsid w:val="76340791"/>
    <w:multiLevelType w:val="multilevel"/>
    <w:tmpl w:val="76340791"/>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00"/>
        </w:tabs>
        <w:ind w:left="1200" w:hanging="360"/>
      </w:pPr>
      <w:rPr>
        <w:rFonts w:hint="default" w:ascii="宋体" w:hAnsi="宋体"/>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num w:numId="1">
    <w:abstractNumId w:val="31"/>
  </w:num>
  <w:num w:numId="2">
    <w:abstractNumId w:val="7"/>
  </w:num>
  <w:num w:numId="3">
    <w:abstractNumId w:val="19"/>
  </w:num>
  <w:num w:numId="4">
    <w:abstractNumId w:val="20"/>
  </w:num>
  <w:num w:numId="5">
    <w:abstractNumId w:val="3"/>
  </w:num>
  <w:num w:numId="6">
    <w:abstractNumId w:val="9"/>
  </w:num>
  <w:num w:numId="7">
    <w:abstractNumId w:val="18"/>
  </w:num>
  <w:num w:numId="8">
    <w:abstractNumId w:val="6"/>
  </w:num>
  <w:num w:numId="9">
    <w:abstractNumId w:val="0"/>
  </w:num>
  <w:num w:numId="10">
    <w:abstractNumId w:val="12"/>
  </w:num>
  <w:num w:numId="11">
    <w:abstractNumId w:val="1"/>
  </w:num>
  <w:num w:numId="12">
    <w:abstractNumId w:val="10"/>
  </w:num>
  <w:num w:numId="13">
    <w:abstractNumId w:val="21"/>
  </w:num>
  <w:num w:numId="14">
    <w:abstractNumId w:val="25"/>
    <w:lvlOverride w:ilvl="0">
      <w:startOverride w:val="1"/>
    </w:lvlOverride>
  </w:num>
  <w:num w:numId="15">
    <w:abstractNumId w:val="26"/>
    <w:lvlOverride w:ilvl="0">
      <w:startOverride w:val="1"/>
    </w:lvlOverride>
  </w:num>
  <w:num w:numId="16">
    <w:abstractNumId w:val="22"/>
  </w:num>
  <w:num w:numId="17">
    <w:abstractNumId w:val="15"/>
  </w:num>
  <w:num w:numId="18">
    <w:abstractNumId w:val="5"/>
  </w:num>
  <w:num w:numId="19">
    <w:abstractNumId w:val="4"/>
  </w:num>
  <w:num w:numId="20">
    <w:abstractNumId w:val="16"/>
  </w:num>
  <w:num w:numId="21">
    <w:abstractNumId w:val="23"/>
  </w:num>
  <w:num w:numId="22">
    <w:abstractNumId w:val="27"/>
    <w:lvlOverride w:ilvl="0">
      <w:startOverride w:val="1"/>
    </w:lvlOverride>
  </w:num>
  <w:num w:numId="23">
    <w:abstractNumId w:val="14"/>
  </w:num>
  <w:num w:numId="24">
    <w:abstractNumId w:val="11"/>
  </w:num>
  <w:num w:numId="25">
    <w:abstractNumId w:val="13"/>
  </w:num>
  <w:num w:numId="26">
    <w:abstractNumId w:val="32"/>
  </w:num>
  <w:num w:numId="27">
    <w:abstractNumId w:val="28"/>
    <w:lvlOverride w:ilvl="0">
      <w:startOverride w:val="1"/>
    </w:lvlOverride>
  </w:num>
  <w:num w:numId="28">
    <w:abstractNumId w:val="17"/>
  </w:num>
  <w:num w:numId="29">
    <w:abstractNumId w:val="8"/>
  </w:num>
  <w:num w:numId="30">
    <w:abstractNumId w:val="24"/>
  </w:num>
  <w:num w:numId="31">
    <w:abstractNumId w:val="2"/>
  </w:num>
  <w:num w:numId="32">
    <w:abstractNumId w:val="29"/>
    <w:lvlOverride w:ilvl="0">
      <w:startOverride w:val="1"/>
    </w:lvlOverride>
  </w:num>
  <w:num w:numId="33">
    <w:abstractNumId w:val="3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1D0B7C76"/>
    <w:rsid w:val="3BD26930"/>
    <w:rsid w:val="53B67595"/>
    <w:rsid w:val="700B42CA"/>
    <w:rsid w:val="7BC5464C"/>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kern w:val="2"/>
      <w:sz w:val="21"/>
      <w:szCs w:val="24"/>
      <w:lang w:val="en-US" w:eastAsia="zh-CN" w:bidi="ar-SA"/>
    </w:rPr>
  </w:style>
  <w:style w:type="paragraph" w:styleId="2">
    <w:name w:val="heading 1"/>
    <w:basedOn w:val="1"/>
    <w:next w:val="1"/>
    <w:qFormat/>
    <w:uiPriority w:val="0"/>
    <w:pPr>
      <w:keepNext/>
      <w:keepLines/>
      <w:numPr>
        <w:ilvl w:val="0"/>
        <w:numId w:val="1"/>
      </w:numPr>
      <w:adjustRightInd w:val="0"/>
      <w:spacing w:before="340" w:after="330" w:line="578" w:lineRule="atLeast"/>
      <w:jc w:val="left"/>
      <w:textAlignment w:val="baseline"/>
      <w:outlineLvl w:val="0"/>
    </w:pPr>
    <w:rPr>
      <w:b/>
      <w:bCs/>
      <w:kern w:val="44"/>
      <w:sz w:val="44"/>
      <w:szCs w:val="44"/>
    </w:rPr>
  </w:style>
  <w:style w:type="paragraph" w:styleId="3">
    <w:name w:val="heading 2"/>
    <w:basedOn w:val="1"/>
    <w:next w:val="1"/>
    <w:unhideWhenUsed/>
    <w:qFormat/>
    <w:uiPriority w:val="0"/>
    <w:pPr>
      <w:keepNext/>
      <w:keepLines/>
      <w:numPr>
        <w:ilvl w:val="1"/>
        <w:numId w:val="1"/>
      </w:numPr>
      <w:adjustRightInd w:val="0"/>
      <w:spacing w:before="260" w:after="260" w:line="416" w:lineRule="atLeast"/>
      <w:jc w:val="left"/>
      <w:textAlignment w:val="baseline"/>
      <w:outlineLvl w:val="1"/>
    </w:pPr>
    <w:rPr>
      <w:rFonts w:ascii="Arial" w:hAnsi="Arial" w:eastAsia="黑体"/>
      <w:b/>
      <w:bCs/>
      <w:kern w:val="0"/>
      <w:sz w:val="32"/>
      <w:szCs w:val="32"/>
    </w:rPr>
  </w:style>
  <w:style w:type="paragraph" w:styleId="4">
    <w:name w:val="heading 3"/>
    <w:basedOn w:val="1"/>
    <w:next w:val="1"/>
    <w:unhideWhenUsed/>
    <w:qFormat/>
    <w:uiPriority w:val="0"/>
    <w:pPr>
      <w:keepNext/>
      <w:keepLines/>
      <w:numPr>
        <w:ilvl w:val="2"/>
        <w:numId w:val="1"/>
      </w:numPr>
      <w:adjustRightInd w:val="0"/>
      <w:spacing w:before="260" w:after="260" w:line="416" w:lineRule="atLeast"/>
      <w:jc w:val="left"/>
      <w:textAlignment w:val="baseline"/>
      <w:outlineLvl w:val="2"/>
    </w:pPr>
    <w:rPr>
      <w:b/>
      <w:bCs/>
      <w:kern w:val="0"/>
      <w:sz w:val="32"/>
      <w:szCs w:val="32"/>
    </w:rPr>
  </w:style>
  <w:style w:type="character" w:default="1" w:styleId="11">
    <w:name w:val="Default Paragraph Font"/>
    <w:semiHidden/>
    <w:uiPriority w:val="0"/>
  </w:style>
  <w:style w:type="table" w:default="1" w:styleId="12">
    <w:name w:val="Normal Table"/>
    <w:semiHidden/>
    <w:uiPriority w:val="0"/>
    <w:tblPr>
      <w:tblLayout w:type="fixed"/>
      <w:tblCellMar>
        <w:top w:w="0" w:type="dxa"/>
        <w:left w:w="108" w:type="dxa"/>
        <w:bottom w:w="0" w:type="dxa"/>
        <w:right w:w="108" w:type="dxa"/>
      </w:tblCellMar>
    </w:tblPr>
  </w:style>
  <w:style w:type="paragraph" w:styleId="5">
    <w:name w:val="caption"/>
    <w:basedOn w:val="1"/>
    <w:next w:val="1"/>
    <w:unhideWhenUsed/>
    <w:qFormat/>
    <w:uiPriority w:val="0"/>
    <w:pPr>
      <w:numPr>
        <w:ilvl w:val="0"/>
        <w:numId w:val="1"/>
      </w:numPr>
      <w:spacing w:line="360" w:lineRule="auto"/>
      <w:ind w:firstLine="0"/>
      <w:jc w:val="center"/>
    </w:pPr>
    <w:rPr>
      <w:rFonts w:ascii="Arial Unicode MS" w:hAnsi="Arial Unicode MS"/>
      <w:szCs w:val="20"/>
    </w:rPr>
  </w:style>
  <w:style w:type="paragraph" w:styleId="6">
    <w:name w:val="Body Text"/>
    <w:basedOn w:val="1"/>
    <w:uiPriority w:val="0"/>
    <w:pPr>
      <w:spacing w:after="120" w:afterLines="0"/>
    </w:pPr>
  </w:style>
  <w:style w:type="paragraph" w:styleId="7">
    <w:name w:val="Body Text Indent"/>
    <w:basedOn w:val="1"/>
    <w:uiPriority w:val="0"/>
    <w:pPr>
      <w:spacing w:line="400" w:lineRule="exact"/>
      <w:ind w:left="630"/>
    </w:pPr>
    <w:rPr>
      <w:rFonts w:ascii="楷体_GB2312"/>
      <w:szCs w:val="20"/>
    </w:rPr>
  </w:style>
  <w:style w:type="paragraph" w:styleId="8">
    <w:name w:val="footer"/>
    <w:basedOn w:val="1"/>
    <w:uiPriority w:val="0"/>
    <w:pPr>
      <w:tabs>
        <w:tab w:val="center" w:pos="4153"/>
        <w:tab w:val="right" w:pos="8306"/>
      </w:tabs>
      <w:snapToGrid w:val="0"/>
      <w:jc w:val="left"/>
    </w:pPr>
    <w:rPr>
      <w:sz w:val="18"/>
      <w:szCs w:val="18"/>
    </w:rPr>
  </w:style>
  <w:style w:type="paragraph" w:styleId="9">
    <w:name w:val="List"/>
    <w:basedOn w:val="1"/>
    <w:uiPriority w:val="0"/>
    <w:pPr>
      <w:spacing w:line="360" w:lineRule="auto"/>
      <w:ind w:left="200" w:hanging="200" w:hangingChars="200"/>
    </w:pPr>
    <w:rPr>
      <w:sz w:val="24"/>
      <w:szCs w:val="20"/>
    </w:rPr>
  </w:style>
  <w:style w:type="paragraph" w:styleId="10">
    <w:name w:val="Title"/>
    <w:basedOn w:val="1"/>
    <w:next w:val="1"/>
    <w:qFormat/>
    <w:uiPriority w:val="0"/>
    <w:pPr>
      <w:spacing w:before="240" w:beforeLines="0" w:after="60" w:afterLines="0"/>
      <w:jc w:val="center"/>
      <w:outlineLvl w:val="0"/>
    </w:pPr>
    <w:rPr>
      <w:rFonts w:ascii="Cambria" w:hAnsi="Cambria"/>
      <w:b/>
      <w:bCs/>
      <w:sz w:val="32"/>
      <w:szCs w:val="32"/>
    </w:rPr>
  </w:style>
  <w:style w:type="paragraph" w:customStyle="1" w:styleId="13">
    <w:name w:val="List Paragraph"/>
    <w:basedOn w:val="1"/>
    <w:qFormat/>
    <w:uiPriority w:val="0"/>
    <w:pPr>
      <w:spacing w:line="360" w:lineRule="auto"/>
      <w:ind w:firstLine="420" w:firstLineChars="200"/>
    </w:pPr>
    <w:rPr>
      <w:rFonts w:ascii="Calibri" w:hAnsi="Calibri"/>
      <w:sz w:val="24"/>
      <w:szCs w:val="22"/>
    </w:rPr>
  </w:style>
  <w:style w:type="paragraph" w:customStyle="1" w:styleId="14">
    <w:name w:val="Style 四号 Before:  2.8 pt After:  5.65 pt"/>
    <w:basedOn w:val="1"/>
    <w:qFormat/>
    <w:uiPriority w:val="0"/>
    <w:pPr>
      <w:spacing w:before="56" w:after="113"/>
    </w:pPr>
    <w:rPr>
      <w:rFonts w:cs="宋体"/>
      <w:sz w:val="28"/>
      <w:szCs w:val="20"/>
    </w:rPr>
  </w:style>
  <w:style w:type="paragraph" w:customStyle="1" w:styleId="15">
    <w:name w:val="_Style 8"/>
    <w:basedOn w:val="1"/>
    <w:qFormat/>
    <w:uiPriority w:val="34"/>
    <w:pPr>
      <w:ind w:firstLine="420" w:firstLineChars="200"/>
    </w:pPr>
    <w:rPr>
      <w:rFonts w:ascii="Calibri" w:hAnsi="Calibri" w:eastAsia="宋体" w:cs="Times New Roman"/>
      <w:szCs w:val="22"/>
    </w:rPr>
  </w:style>
  <w:style w:type="paragraph" w:customStyle="1" w:styleId="16">
    <w:name w:val="列出段落1"/>
    <w:basedOn w:val="1"/>
    <w:qFormat/>
    <w:uiPriority w:val="0"/>
    <w:pPr>
      <w:ind w:firstLine="420" w:firstLineChars="200"/>
    </w:pPr>
    <w:rPr>
      <w:rFonts w:ascii="Arial" w:hAnsi="Arial"/>
      <w:szCs w:val="21"/>
    </w:rPr>
  </w:style>
  <w:style w:type="paragraph" w:customStyle="1" w:styleId="17">
    <w:name w:val="样式 首行缩进:  0 字符"/>
    <w:basedOn w:val="1"/>
    <w:qFormat/>
    <w:uiPriority w:val="0"/>
    <w:pPr>
      <w:spacing w:line="360" w:lineRule="auto"/>
      <w:ind w:firstLine="200" w:firstLineChars="200"/>
    </w:pPr>
    <w:rPr>
      <w:rFonts w:ascii="Arial" w:hAnsi="Arial" w:cs="宋体"/>
      <w:sz w:val="24"/>
      <w:szCs w:val="20"/>
    </w:rPr>
  </w:style>
  <w:style w:type="paragraph" w:customStyle="1" w:styleId="18">
    <w:name w:val="GP正文(首行缩进)"/>
    <w:basedOn w:val="1"/>
    <w:qFormat/>
    <w:uiPriority w:val="0"/>
    <w:pPr>
      <w:spacing w:line="360" w:lineRule="auto"/>
      <w:ind w:firstLine="200" w:firstLineChars="200"/>
      <w:jc w:val="left"/>
    </w:pPr>
    <w:rPr>
      <w:sz w:val="24"/>
      <w:szCs w:val="21"/>
    </w:rPr>
  </w:style>
  <w:style w:type="paragraph" w:customStyle="1" w:styleId="19">
    <w:name w:val="GP正文(无首行缩进)"/>
    <w:basedOn w:val="18"/>
    <w:qFormat/>
    <w:uiPriority w:val="0"/>
    <w:pPr>
      <w:ind w:firstLine="480"/>
    </w:pPr>
    <w:rPr>
      <w:rFonts w:hAnsi="宋体"/>
      <w:szCs w:val="24"/>
    </w:rPr>
  </w:style>
  <w:style w:type="paragraph" w:customStyle="1" w:styleId="20">
    <w:name w:val="_Style 7"/>
    <w:basedOn w:val="1"/>
    <w:qFormat/>
    <w:uiPriority w:val="34"/>
    <w:pPr>
      <w:spacing w:line="360" w:lineRule="auto"/>
      <w:ind w:firstLine="420" w:firstLineChars="200"/>
    </w:pPr>
    <w:rPr>
      <w:rFonts w:ascii="Calibri" w:hAnsi="Calibri" w:eastAsia="微软雅黑"/>
      <w:sz w:val="24"/>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jpeg"/><Relationship Id="rId7" Type="http://schemas.openxmlformats.org/officeDocument/2006/relationships/image" Target="media/image3.png"/><Relationship Id="rId6" Type="http://schemas.openxmlformats.org/officeDocument/2006/relationships/image" Target="media/image2.emf"/><Relationship Id="rId5" Type="http://schemas.openxmlformats.org/officeDocument/2006/relationships/image" Target="media/image1.emf"/><Relationship Id="rId4" Type="http://schemas.openxmlformats.org/officeDocument/2006/relationships/theme" Target="theme/theme1.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footer" Target="footer1.xml"/><Relationship Id="rId29" Type="http://schemas.openxmlformats.org/officeDocument/2006/relationships/image" Target="media/image23.png"/><Relationship Id="rId28" Type="http://schemas.openxmlformats.org/officeDocument/2006/relationships/image" Target="media/image22.png"/><Relationship Id="rId27" Type="http://schemas.openxmlformats.org/officeDocument/2006/relationships/image" Target="media/image21.jpe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jpeg"/><Relationship Id="rId23" Type="http://schemas.openxmlformats.org/officeDocument/2006/relationships/image" Target="media/image17.jpe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emf"/><Relationship Id="rId18" Type="http://schemas.openxmlformats.org/officeDocument/2006/relationships/image" Target="media/image12.emf"/><Relationship Id="rId17" Type="http://schemas.openxmlformats.org/officeDocument/2006/relationships/image" Target="media/image11.emf"/><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emf"/><Relationship Id="rId13" Type="http://schemas.openxmlformats.org/officeDocument/2006/relationships/oleObject" Target="embeddings/oleObject2.bin"/><Relationship Id="rId12" Type="http://schemas.openxmlformats.org/officeDocument/2006/relationships/image" Target="media/image7.emf"/><Relationship Id="rId11" Type="http://schemas.openxmlformats.org/officeDocument/2006/relationships/oleObject" Target="embeddings/oleObject1.bin"/><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Office_10.1.0.6393_F1E327BC-269C-435d-A152-05C5408002CA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Administrator</cp:lastModifiedBy>
  <dcterms:modified xsi:type="dcterms:W3CDTF">2017-05-12T01:50:30Z</dcterms:modified>
  <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2052-10.1.0.6393</vt:lpwstr>
  </property>
</Properties>
</file>