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cs="宋体"/>
          <w:b/>
          <w:bCs/>
          <w:sz w:val="24"/>
          <w:lang w:val="zh-CN"/>
        </w:rPr>
      </w:pPr>
      <w:bookmarkStart w:id="0" w:name="_Toc480970472"/>
      <w:r>
        <w:rPr>
          <w:rFonts w:hint="eastAsia" w:eastAsiaTheme="minorEastAsia"/>
        </w:rPr>
        <w:t>投标分项报价一览表</w:t>
      </w:r>
      <w:bookmarkEnd w:id="0"/>
    </w:p>
    <w:tbl>
      <w:tblPr>
        <w:tblStyle w:val="6"/>
        <w:tblW w:w="10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97"/>
        <w:gridCol w:w="505"/>
        <w:gridCol w:w="4355"/>
        <w:gridCol w:w="465"/>
        <w:gridCol w:w="465"/>
        <w:gridCol w:w="645"/>
        <w:gridCol w:w="907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120"/>
              <w:jc w:val="right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名 称</w:t>
            </w:r>
          </w:p>
        </w:tc>
        <w:tc>
          <w:tcPr>
            <w:tcW w:w="4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技术参数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单 位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数 量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单 价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120"/>
              <w:jc w:val="both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总价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left="120" w:hanging="120"/>
              <w:jc w:val="center"/>
              <w:rPr>
                <w:rFonts w:ascii="宋体" w:cs="宋体" w:hAnsiTheme="minorHAnsi" w:eastAsiaTheme="minorEastAsia"/>
                <w:b/>
                <w:bCs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全自动尿液分析流水线</w:t>
            </w:r>
          </w:p>
        </w:tc>
        <w:tc>
          <w:tcPr>
            <w:tcW w:w="4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一、URIT-1600全自动尿液分析仪技术参数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1、测试原理：多波长反射光比色法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2、检测系统：采用LED冷光源一体化点阵式图像传感器检测系统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3、检测波长数量：≥5个波长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 xml:space="preserve">4、仪器测试项目：可使用适配尿试纸进行11项、12项、14项测试 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5、测试速度：≥300个样本/小时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6、试管进样机构最大容量：11个试管架，110个样本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7、显示：≥8英寸触摸式彩色液晶显示屏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8、尿液颜色识别功能：采用物理方法（RGB三原色法）识别样本的颜色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9、尿液浊度检测功能：分析仪采用物理法（散射法）检测出样板的浊度结果；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10、尿液比重检测功能：分析仪采用物理方法（折射计法）检测样本的尿比重结果，准确度线性范围为1.000—1.055，重复性≤0.5%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11、存储器容量：≥30万条数据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12、试纸仓容量：≥200条试纸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13、尿样需求量： ≤2mL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14、采样方式：采用液面感应技术，当样本量不足时会发出报警提示。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15、急诊插入：有单独急诊测试位，具有急诊插入功能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16、加样方式：矩阵式高速加样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17、正负压清洗：正负压清洗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18、数据通讯：RS-232接口、并口、USB接口、网络接口、PS/2接口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19、操作系统：linux操作系统，全中文操作界面。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20、制造商具有ISO9001、ISO13485、CMD认证，仪器有CE认证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21、制造商有通过SFDA注册的配套尿试纸、质控液。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二、URIT-1280尿液有形成分分析仪技术参数要求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1、工作原理：采用数字成像自动识别原理对尿液中的有形成分进行定性、定量分析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2、检测项目：可检测尿液中多达30种有形成分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3、检测速度：最快测速为100个/小时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4、进样平台容量：最多可放置50个样本，并具有急诊功能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5、红细胞位相检测功能：可通过红细胞形态的鉴定发出红细胞位相报告，可提供3个报告参数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6、样本处理：支持原尿和沉渣尿两种类型标本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7、样本量：≤1.2ml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8、自动对焦：分析仪无需调焦液即可通过软件实现自动对焦功能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9、显微系统：显微系统采用奥林巴斯平场消色差显微物镜，采用高低倍双镜筒显微镜装置，获得国家发明专利（可提供专利复印件）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10、图像分割和拼接功能：具有智能图像分割和拼接功能，能将采集的单张图视野图片，自动拼接成全景图片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11、显微镜调焦装置和显微镜可调节载物台技术获得国家实用新型专利（可提供专利复印件）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12、阴性标本筛查：具有低倍镜阴性标本筛查功能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13、携带污染率：≤0.05%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14、稳定性：分析仪开机8小时内，细胞计数结果的变异系数（CV）≤5%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15、干化学仪匹配：可与任意品牌的干化学仪实现联机并接收结果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16、网络接口：标准网络接口，可以和LIS及HIS系统联网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17、数据存储和查询：存储不少于5万个结果，可实时查询，断电后存储数据不丢失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18、校准：分析仪能自动和手动设置校准系数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19、质控：分析仪能做质控测试、自动绘制L-J指控图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20、清洗功能：自动冲洗一体化，采样针自动清洗、液路定时清洗、关机清洗等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21、自检功能：分析仪能开机自检，当分析仪在测试过程中发生某种障碍时，能显示出相应的故障提示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22、单位选择：测试结果单位可选择“个数每微升”（/uL）或“个数每视野”（/HFP）23、制造商具有通过SFDA注册的校准物，并能提供具有检出限、低浓度、中浓度和高浓度四种水平的质控液（提供产品注册证复印件）</w:t>
            </w: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148000元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148000元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产地：桂林市高新区信息产业园D-07号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厂家： 桂林优利特医疗电子有限公司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zh-CN"/>
              </w:rPr>
              <w:t>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大写：壹拾肆万捌仟元整　　　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lang w:val="zh-CN"/>
              </w:rPr>
              <w:t>小写：148000元</w:t>
            </w:r>
          </w:p>
        </w:tc>
      </w:tr>
    </w:tbl>
    <w:p>
      <w:pPr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投标人（公章）：河南诺恒医疗器械有限公司</w:t>
      </w:r>
    </w:p>
    <w:p>
      <w:pPr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投标人法定代表人 （或代理人）签字：</w:t>
      </w:r>
    </w:p>
    <w:p>
      <w:pPr>
        <w:rPr>
          <w:rFonts w:hint="eastAsia"/>
          <w:color w:val="000000"/>
          <w:sz w:val="24"/>
          <w:lang w:val="zh-CN"/>
        </w:rPr>
      </w:pPr>
    </w:p>
    <w:p>
      <w:pPr>
        <w:rPr>
          <w:rFonts w:hint="eastAsia"/>
          <w:color w:val="000000"/>
          <w:sz w:val="24"/>
          <w:lang w:val="zh-CN"/>
        </w:rPr>
      </w:pPr>
    </w:p>
    <w:p>
      <w:pPr>
        <w:rPr>
          <w:rFonts w:hint="eastAsia"/>
          <w:color w:val="000000"/>
          <w:sz w:val="24"/>
          <w:lang w:val="zh-CN"/>
        </w:rPr>
      </w:pPr>
      <w:bookmarkStart w:id="1" w:name="_GoBack"/>
      <w:bookmarkEnd w:id="1"/>
    </w:p>
    <w:p>
      <w:pPr>
        <w:rPr>
          <w:rFonts w:hint="eastAsia"/>
          <w:color w:val="000000"/>
          <w:sz w:val="24"/>
          <w:lang w:val="zh-CN"/>
        </w:rPr>
      </w:pPr>
    </w:p>
    <w:p>
      <w:pPr>
        <w:rPr>
          <w:rFonts w:hint="eastAsia"/>
          <w:color w:val="000000"/>
          <w:sz w:val="24"/>
          <w:lang w:val="zh-CN"/>
        </w:rPr>
      </w:pPr>
    </w:p>
    <w:p>
      <w:pPr>
        <w:rPr>
          <w:rFonts w:hint="eastAsia"/>
          <w:color w:val="000000"/>
          <w:sz w:val="24"/>
          <w:lang w:val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687C"/>
    <w:rsid w:val="001655DE"/>
    <w:rsid w:val="001778FE"/>
    <w:rsid w:val="00323B43"/>
    <w:rsid w:val="003D37D8"/>
    <w:rsid w:val="00426133"/>
    <w:rsid w:val="004358AB"/>
    <w:rsid w:val="008B7726"/>
    <w:rsid w:val="00A30C3C"/>
    <w:rsid w:val="00AC343C"/>
    <w:rsid w:val="00C672D1"/>
    <w:rsid w:val="00D31D50"/>
    <w:rsid w:val="00D910C5"/>
    <w:rsid w:val="582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340" w:after="330" w:line="360" w:lineRule="auto"/>
      <w:jc w:val="center"/>
      <w:outlineLvl w:val="0"/>
    </w:pPr>
    <w:rPr>
      <w:rFonts w:eastAsia="宋体" w:cs="宋体" w:asciiTheme="minorHAnsi" w:hAnsiTheme="minorHAnsi"/>
      <w:b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eastAsia="宋体" w:cs="宋体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许昌市公共资源交易中心:李海涛</cp:lastModifiedBy>
  <dcterms:modified xsi:type="dcterms:W3CDTF">2017-04-28T07:24:30Z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