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outlineLvl w:val="1"/>
        <w:rPr>
          <w:rFonts w:hint="eastAsia" w:ascii="宋体" w:hAnsi="宋体"/>
          <w:b/>
          <w:bCs/>
          <w:sz w:val="21"/>
          <w:szCs w:val="21"/>
          <w:lang w:val="en-US" w:eastAsia="zh-CN"/>
        </w:rPr>
      </w:pPr>
      <w:bookmarkStart w:id="0" w:name="_Toc383602864"/>
      <w:r>
        <w:rPr>
          <w:rFonts w:hint="eastAsia" w:ascii="宋体" w:hAnsi="宋体"/>
          <w:b/>
          <w:bCs/>
          <w:sz w:val="21"/>
          <w:szCs w:val="21"/>
        </w:rPr>
        <w:t>附件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4：</w:t>
      </w:r>
      <w:bookmarkStart w:id="2" w:name="_GoBack"/>
      <w:bookmarkEnd w:id="2"/>
    </w:p>
    <w:p>
      <w:pPr>
        <w:spacing w:line="360" w:lineRule="auto"/>
        <w:jc w:val="center"/>
        <w:outlineLvl w:val="1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《许昌科学技术馆展品展项设备参考品牌目录》</w:t>
      </w:r>
      <w:bookmarkEnd w:id="0"/>
    </w:p>
    <w:p>
      <w:pPr>
        <w:adjustRightInd w:val="0"/>
        <w:snapToGrid w:val="0"/>
        <w:spacing w:line="360" w:lineRule="auto"/>
        <w:ind w:left="-118" w:leftChars="-42"/>
        <w:rPr>
          <w:rFonts w:ascii="宋体" w:hAnsi="宋体"/>
          <w:sz w:val="21"/>
          <w:szCs w:val="21"/>
        </w:rPr>
      </w:pPr>
    </w:p>
    <w:tbl>
      <w:tblPr>
        <w:tblStyle w:val="7"/>
        <w:tblW w:w="97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2"/>
        <w:gridCol w:w="2311"/>
        <w:gridCol w:w="4267"/>
        <w:gridCol w:w="900"/>
        <w:gridCol w:w="66"/>
        <w:gridCol w:w="102"/>
        <w:gridCol w:w="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tblHeader/>
          <w:jc w:val="center"/>
        </w:trPr>
        <w:tc>
          <w:tcPr>
            <w:tcW w:w="4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名称</w:t>
            </w:r>
          </w:p>
        </w:tc>
        <w:tc>
          <w:tcPr>
            <w:tcW w:w="4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参考品牌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或生产厂家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一、低压电气及控制设备：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 w:cs="Arial Unicode MS"/>
                <w:sz w:val="21"/>
                <w:szCs w:val="21"/>
              </w:rPr>
              <w:t>电机及配套件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电机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三菱电机、松下、东方马达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变频器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西门子、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欧姆龙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三菱电机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接触器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接触器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840" w:firstLineChars="400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西门子、施耐德、欧姆龙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20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空气开关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空气开关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西门子、施耐德、欧姆龙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2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指示灯、</w:t>
            </w:r>
            <w:r>
              <w:rPr>
                <w:rFonts w:ascii="宋体" w:hAnsi="宋体"/>
                <w:sz w:val="21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sz w:val="21"/>
                <w:szCs w:val="21"/>
              </w:rPr>
              <w:t>按钮、限位开关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指示灯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施耐德、西门子、霍利韦尔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按钮（含按钮开关）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施耐德、西门子、霍利韦尔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5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限位开关（含微动开关）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施耐德、霍利韦尔、欧姆龙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jc w:val="center"/>
        </w:trPr>
        <w:tc>
          <w:tcPr>
            <w:tcW w:w="206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继电器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中间继电器</w:t>
            </w:r>
          </w:p>
        </w:tc>
        <w:tc>
          <w:tcPr>
            <w:tcW w:w="42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施耐德、西门子、欧姆龙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时间继电器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热继电器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  <w:tc>
          <w:tcPr>
            <w:tcW w:w="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单片机用继电器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控制设备</w:t>
            </w:r>
          </w:p>
        </w:tc>
        <w:tc>
          <w:tcPr>
            <w:tcW w:w="2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工控机</w:t>
            </w:r>
          </w:p>
        </w:tc>
        <w:tc>
          <w:tcPr>
            <w:tcW w:w="4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5"/>
              <w:spacing w:line="33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西门子、研华、</w:t>
            </w:r>
            <w:r>
              <w:rPr>
                <w:rFonts w:ascii="宋体" w:hAnsi="宋体"/>
                <w:sz w:val="21"/>
                <w:szCs w:val="21"/>
              </w:rPr>
              <w:t>研祥</w:t>
            </w:r>
          </w:p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PLC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欧姆龙、西门子、三菱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检测设备</w:t>
            </w: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编码器</w:t>
            </w:r>
          </w:p>
        </w:tc>
        <w:tc>
          <w:tcPr>
            <w:tcW w:w="42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霍利韦尔、欧姆龙、西门子</w:t>
            </w: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位置传感器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温度传感器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压力传感器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角度传感器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加速度传感器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脉搏传感器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转速传感器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感应接近开关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红外感应装置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磁电感应装置</w:t>
            </w:r>
          </w:p>
        </w:tc>
        <w:tc>
          <w:tcPr>
            <w:tcW w:w="42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9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二、音、视频设备：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电视机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三星、索尼、松下、康佳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投影设备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投影机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索尼、松下、科视、巴可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投影机屏幕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3M</w:t>
            </w:r>
            <w:r>
              <w:rPr>
                <w:rFonts w:hint="eastAsia" w:ascii="宋体" w:hAnsi="宋体"/>
                <w:sz w:val="21"/>
                <w:szCs w:val="21"/>
              </w:rPr>
              <w:t>、白雪、红叶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音、视频源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硬盘播放器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爱国者、亿典、先明迪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摄像头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索尼、三星、罗技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摄像机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索尼、松下</w:t>
            </w:r>
            <w:r>
              <w:rPr>
                <w:rFonts w:ascii="宋体" w:hAnsi="宋体"/>
                <w:sz w:val="21"/>
                <w:szCs w:val="21"/>
              </w:rPr>
              <w:t>(Panasonic)</w:t>
            </w:r>
            <w:r>
              <w:rPr>
                <w:rFonts w:hint="eastAsia" w:ascii="宋体" w:hAnsi="宋体"/>
                <w:sz w:val="21"/>
                <w:szCs w:val="21"/>
              </w:rPr>
              <w:t>、JVC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镜头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索尼</w:t>
            </w:r>
            <w:r>
              <w:rPr>
                <w:rFonts w:ascii="宋体" w:hAnsi="宋体"/>
                <w:sz w:val="21"/>
                <w:szCs w:val="21"/>
              </w:rPr>
              <w:t>、松下</w:t>
            </w:r>
            <w:r>
              <w:rPr>
                <w:rFonts w:hint="eastAsia" w:ascii="宋体" w:hAnsi="宋体"/>
                <w:sz w:val="21"/>
                <w:szCs w:val="21"/>
              </w:rPr>
              <w:t>、三星、科视、巴可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音频处理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功放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戴斯、迪姆、安发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调音台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戴斯、迪姆、安发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音视频矩阵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快捷、思美、百威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音箱、喇叭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戴斯、迪姆、安发、漫步者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数字音响系统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JBL</w:t>
            </w:r>
            <w:r>
              <w:rPr>
                <w:rFonts w:hint="eastAsia" w:ascii="宋体" w:hAnsi="宋体"/>
                <w:sz w:val="21"/>
                <w:szCs w:val="21"/>
              </w:rPr>
              <w:t>、百威、博世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9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三、计算机及外围设备：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" w:hRule="atLeast"/>
          <w:jc w:val="center"/>
        </w:trPr>
        <w:tc>
          <w:tcPr>
            <w:tcW w:w="206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计算机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联想、方正、戴尔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显示器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显示器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夏普、索尼、飞利浦、三星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触摸屏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3M、泰科、宇联、</w:t>
            </w:r>
            <w:r>
              <w:fldChar w:fldCharType="begin"/>
            </w:r>
            <w:r>
              <w:instrText xml:space="preserve"> HYPERLINK "http://www.maigoo.com/maigoocms/special/it/082touchkit.html" \t "_blank" </w:instrText>
            </w:r>
            <w: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t>TouchKit</w:t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/>
                <w:sz w:val="21"/>
                <w:szCs w:val="21"/>
              </w:rPr>
              <w:t>、吉锐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打印机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惠普</w:t>
            </w:r>
            <w:r>
              <w:rPr>
                <w:rFonts w:ascii="宋体" w:hAnsi="宋体"/>
                <w:sz w:val="21"/>
                <w:szCs w:val="21"/>
              </w:rPr>
              <w:t>(HP)</w:t>
            </w:r>
            <w:r>
              <w:rPr>
                <w:rFonts w:hint="eastAsia" w:ascii="宋体" w:hAnsi="宋体"/>
                <w:sz w:val="21"/>
                <w:szCs w:val="21"/>
              </w:rPr>
              <w:t>、爱普生</w:t>
            </w:r>
            <w:r>
              <w:rPr>
                <w:rFonts w:ascii="宋体" w:hAnsi="宋体"/>
                <w:sz w:val="21"/>
                <w:szCs w:val="21"/>
              </w:rPr>
              <w:t>(EPSON)</w:t>
            </w:r>
            <w:r>
              <w:rPr>
                <w:rFonts w:hint="eastAsia" w:ascii="宋体" w:hAnsi="宋体"/>
                <w:sz w:val="21"/>
                <w:szCs w:val="21"/>
              </w:rPr>
              <w:t>、佳能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  <w:tc>
          <w:tcPr>
            <w:tcW w:w="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2062" w:type="dxa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 w:cs="Arial Unicode MS"/>
                <w:color w:val="000000"/>
                <w:sz w:val="21"/>
                <w:szCs w:val="21"/>
              </w:rPr>
              <w:t>网络设备</w:t>
            </w:r>
          </w:p>
        </w:tc>
        <w:tc>
          <w:tcPr>
            <w:tcW w:w="2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交换机、集线器</w:t>
            </w:r>
          </w:p>
        </w:tc>
        <w:tc>
          <w:tcPr>
            <w:tcW w:w="4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思科、杜松、华三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9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四、气动、传输设备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90" w:hRule="atLeast"/>
          <w:jc w:val="center"/>
        </w:trPr>
        <w:tc>
          <w:tcPr>
            <w:tcW w:w="2062" w:type="dxa"/>
            <w:vMerge w:val="restart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机械传动</w:t>
            </w:r>
          </w:p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减速电机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SEW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Flender</w:t>
            </w:r>
            <w:r>
              <w:rPr>
                <w:rFonts w:hint="eastAsia" w:ascii="宋体" w:hAnsi="宋体" w:cs="Arial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住友</w:t>
            </w: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滚珠丝杆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THK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SKF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NSK</w:t>
            </w: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直线导轨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THK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NSK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 w:cs="Arial"/>
                <w:color w:val="000000"/>
                <w:sz w:val="21"/>
                <w:szCs w:val="21"/>
              </w:rPr>
              <w:t>ABBA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直线轴承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THK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SKF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精工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轴承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  <w:lang w:val="da-DK"/>
              </w:rPr>
            </w:pPr>
            <w:r>
              <w:rPr>
                <w:rFonts w:ascii="宋体" w:hAnsi="宋体"/>
                <w:sz w:val="21"/>
                <w:szCs w:val="21"/>
                <w:lang w:val="da-DK"/>
              </w:rPr>
              <w:t>NSK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  <w:lang w:val="da-DK"/>
              </w:rPr>
              <w:t>SKF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  <w:lang w:val="da-DK"/>
              </w:rPr>
              <w:t>FAG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  <w:lang w:val="da-DK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bookmarkStart w:id="1" w:name="OLE_LINK1"/>
            <w:r>
              <w:rPr>
                <w:rFonts w:hint="eastAsia" w:ascii="宋体" w:hAnsi="宋体"/>
                <w:sz w:val="21"/>
                <w:szCs w:val="21"/>
              </w:rPr>
              <w:t>气动</w:t>
            </w:r>
            <w:bookmarkEnd w:id="1"/>
            <w:r>
              <w:rPr>
                <w:rFonts w:hint="eastAsia" w:ascii="宋体" w:hAnsi="宋体"/>
                <w:sz w:val="21"/>
                <w:szCs w:val="21"/>
              </w:rPr>
              <w:t>、液压设备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气动三连体</w:t>
            </w:r>
          </w:p>
        </w:tc>
        <w:tc>
          <w:tcPr>
            <w:tcW w:w="4267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SMC</w:t>
            </w:r>
            <w:r>
              <w:rPr>
                <w:rFonts w:hint="eastAsia" w:ascii="宋体" w:hAnsi="宋体"/>
                <w:sz w:val="21"/>
                <w:szCs w:val="21"/>
              </w:rPr>
              <w:t>、费斯托（FESTO）、</w:t>
            </w:r>
            <w:r>
              <w:rPr>
                <w:rFonts w:ascii="宋体" w:hAnsi="宋体"/>
                <w:sz w:val="21"/>
                <w:szCs w:val="21"/>
              </w:rPr>
              <w:t>CKD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方向阀</w:t>
            </w:r>
          </w:p>
        </w:tc>
        <w:tc>
          <w:tcPr>
            <w:tcW w:w="4267" w:type="dxa"/>
            <w:vMerge w:val="continue"/>
            <w:tcBorders>
              <w:left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节流阀</w:t>
            </w:r>
          </w:p>
        </w:tc>
        <w:tc>
          <w:tcPr>
            <w:tcW w:w="4267" w:type="dxa"/>
            <w:vMerge w:val="continue"/>
            <w:tcBorders>
              <w:left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气缸</w:t>
            </w:r>
          </w:p>
        </w:tc>
        <w:tc>
          <w:tcPr>
            <w:tcW w:w="4267" w:type="dxa"/>
            <w:vMerge w:val="continue"/>
            <w:tcBorders>
              <w:left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管接头</w:t>
            </w:r>
          </w:p>
        </w:tc>
        <w:tc>
          <w:tcPr>
            <w:tcW w:w="4267" w:type="dxa"/>
            <w:vMerge w:val="continue"/>
            <w:tcBorders>
              <w:left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软管</w:t>
            </w:r>
          </w:p>
        </w:tc>
        <w:tc>
          <w:tcPr>
            <w:tcW w:w="4267" w:type="dxa"/>
            <w:vMerge w:val="continue"/>
            <w:tcBorders>
              <w:left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压力开关</w:t>
            </w:r>
          </w:p>
        </w:tc>
        <w:tc>
          <w:tcPr>
            <w:tcW w:w="4267" w:type="dxa"/>
            <w:vMerge w:val="continue"/>
            <w:tcBorders>
              <w:left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流量开关</w:t>
            </w:r>
          </w:p>
        </w:tc>
        <w:tc>
          <w:tcPr>
            <w:tcW w:w="4267" w:type="dxa"/>
            <w:vMerge w:val="continue"/>
            <w:tcBorders>
              <w:left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0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其它阀类</w:t>
            </w:r>
          </w:p>
        </w:tc>
        <w:tc>
          <w:tcPr>
            <w:tcW w:w="42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Arial Unicode MS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7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五、油漆类</w:t>
            </w:r>
          </w:p>
        </w:tc>
        <w:tc>
          <w:tcPr>
            <w:tcW w:w="4267" w:type="dxa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 w:val="21"/>
                <w:szCs w:val="21"/>
              </w:rPr>
              <w:t>多乐士</w:t>
            </w:r>
            <w:r>
              <w:rPr>
                <w:rFonts w:ascii="宋体" w:hAnsi="宋体" w:cs="Arial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Arial"/>
                <w:color w:val="000000"/>
                <w:sz w:val="21"/>
                <w:szCs w:val="21"/>
              </w:rPr>
              <w:t>华润</w:t>
            </w:r>
            <w:r>
              <w:rPr>
                <w:rFonts w:ascii="宋体" w:hAnsi="宋体" w:cs="Arial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Arial"/>
                <w:color w:val="000000"/>
                <w:sz w:val="21"/>
                <w:szCs w:val="21"/>
              </w:rPr>
              <w:t>立邦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7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六、金属管、线槽类</w:t>
            </w:r>
          </w:p>
        </w:tc>
        <w:tc>
          <w:tcPr>
            <w:tcW w:w="4267" w:type="dxa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333333"/>
                <w:sz w:val="21"/>
                <w:szCs w:val="21"/>
              </w:rPr>
              <w:t>根据当地实际情况选用优质品牌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7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333333"/>
                <w:sz w:val="21"/>
                <w:szCs w:val="21"/>
              </w:rPr>
              <w:t>七、水管</w:t>
            </w:r>
            <w:r>
              <w:rPr>
                <w:rFonts w:ascii="宋体" w:hAnsi="宋体"/>
                <w:color w:val="333333"/>
                <w:sz w:val="21"/>
                <w:szCs w:val="21"/>
              </w:rPr>
              <w:t>-PPR</w:t>
            </w:r>
            <w:r>
              <w:rPr>
                <w:rFonts w:hint="eastAsia" w:ascii="宋体" w:hAnsi="宋体"/>
                <w:color w:val="333333"/>
                <w:sz w:val="21"/>
                <w:szCs w:val="21"/>
              </w:rPr>
              <w:t>类水管</w:t>
            </w:r>
          </w:p>
        </w:tc>
        <w:tc>
          <w:tcPr>
            <w:tcW w:w="4267" w:type="dxa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日丰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联塑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伟星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7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八、不</w:t>
            </w:r>
            <w:r>
              <w:rPr>
                <w:rFonts w:hint="eastAsia" w:ascii="宋体" w:hAnsi="宋体"/>
                <w:color w:val="333333"/>
                <w:sz w:val="21"/>
                <w:szCs w:val="21"/>
              </w:rPr>
              <w:t>锈钢装饰板类</w:t>
            </w:r>
          </w:p>
        </w:tc>
        <w:tc>
          <w:tcPr>
            <w:tcW w:w="4267" w:type="dxa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 w:val="21"/>
                <w:szCs w:val="21"/>
              </w:rPr>
              <w:t>兆基</w:t>
            </w:r>
            <w:r>
              <w:rPr>
                <w:rFonts w:ascii="宋体" w:hAnsi="宋体" w:cs="Arial"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>永大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广钢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7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333333"/>
                <w:sz w:val="21"/>
                <w:szCs w:val="21"/>
              </w:rPr>
              <w:t>九、不锈钢装饰管类</w:t>
            </w:r>
          </w:p>
        </w:tc>
        <w:tc>
          <w:tcPr>
            <w:tcW w:w="4267" w:type="dxa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 w:val="21"/>
                <w:szCs w:val="21"/>
              </w:rPr>
              <w:t>宝钢  杭钢  广钢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7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333333"/>
                <w:sz w:val="21"/>
                <w:szCs w:val="21"/>
              </w:rPr>
              <w:t>十、型钢类</w:t>
            </w:r>
          </w:p>
        </w:tc>
        <w:tc>
          <w:tcPr>
            <w:tcW w:w="4267" w:type="dxa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宝钢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>武钢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cs="Arial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韶钢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7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333333"/>
                <w:sz w:val="21"/>
                <w:szCs w:val="21"/>
              </w:rPr>
              <w:t>十一、铝塑板类</w:t>
            </w:r>
          </w:p>
        </w:tc>
        <w:tc>
          <w:tcPr>
            <w:tcW w:w="4267" w:type="dxa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吉祥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广美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历雅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7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333333"/>
                <w:sz w:val="21"/>
                <w:szCs w:val="21"/>
              </w:rPr>
              <w:t>十二、人造石类</w:t>
            </w:r>
          </w:p>
        </w:tc>
        <w:tc>
          <w:tcPr>
            <w:tcW w:w="4267" w:type="dxa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杜邦</w:t>
            </w:r>
            <w:r>
              <w:rPr>
                <w:rFonts w:ascii="宋体" w:hAnsi="宋体"/>
                <w:color w:val="FF0000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圣格丽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雪花石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7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十三、有机板</w:t>
            </w:r>
            <w:r>
              <w:rPr>
                <w:rFonts w:hint="eastAsia" w:ascii="宋体" w:hAnsi="宋体"/>
                <w:color w:val="333333"/>
                <w:sz w:val="21"/>
                <w:szCs w:val="21"/>
              </w:rPr>
              <w:t>类</w:t>
            </w:r>
          </w:p>
        </w:tc>
        <w:tc>
          <w:tcPr>
            <w:tcW w:w="4267" w:type="dxa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柏莱瑞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曼科尼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>金吉利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left="-118" w:leftChars="-42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注：参考品牌或型号仅起指导作用，供应商在投标中可以选用替代品牌或型号，但选用品牌或型号的技术参数、性能须等同于或高于参考品牌的要求。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腾祥嘉丽细黑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7BC4"/>
    <w:rsid w:val="00445A64"/>
    <w:rsid w:val="005F19A7"/>
    <w:rsid w:val="006C7BC4"/>
    <w:rsid w:val="00722177"/>
    <w:rsid w:val="00EE259E"/>
    <w:rsid w:val="18C31E47"/>
    <w:rsid w:val="483604A1"/>
    <w:rsid w:val="504B503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 w:eastAsiaTheme="minorEastAsia"/>
      <w:sz w:val="24"/>
    </w:rPr>
  </w:style>
  <w:style w:type="character" w:customStyle="1" w:styleId="8">
    <w:name w:val="HTML 预设格式 Char"/>
    <w:basedOn w:val="6"/>
    <w:link w:val="5"/>
    <w:qFormat/>
    <w:uiPriority w:val="0"/>
    <w:rPr>
      <w:rFonts w:ascii="Arial" w:hAnsi="Arial" w:cs="Arial"/>
      <w:sz w:val="24"/>
      <w:szCs w:val="24"/>
    </w:rPr>
  </w:style>
  <w:style w:type="character" w:customStyle="1" w:styleId="9">
    <w:name w:val="HTML 预设格式 Char1"/>
    <w:basedOn w:val="6"/>
    <w:link w:val="5"/>
    <w:semiHidden/>
    <w:qFormat/>
    <w:uiPriority w:val="99"/>
    <w:rPr>
      <w:rFonts w:ascii="Courier New" w:hAnsi="Courier New" w:eastAsia="宋体" w:cs="Courier New"/>
      <w:sz w:val="20"/>
      <w:szCs w:val="20"/>
    </w:rPr>
  </w:style>
  <w:style w:type="character" w:customStyle="1" w:styleId="10">
    <w:name w:val="文档结构图 Char"/>
    <w:basedOn w:val="6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228</Words>
  <Characters>1300</Characters>
  <Lines>10</Lines>
  <Paragraphs>3</Paragraphs>
  <ScaleCrop>false</ScaleCrop>
  <LinksUpToDate>false</LinksUpToDate>
  <CharactersWithSpaces>1525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2016-01-15T02:36:00Z</dcterms:created>
  <dc:creator>china</dc:creator>
  <cp:lastModifiedBy>Admin</cp:lastModifiedBy>
  <dcterms:modified xsi:type="dcterms:W3CDTF">2017-03-27T08:12:09Z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